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426AE" w14:textId="77777777" w:rsidR="00776BA7" w:rsidRPr="00830611" w:rsidRDefault="00776BA7" w:rsidP="00830611">
      <w:pPr>
        <w:widowControl w:val="0"/>
        <w:spacing w:line="240" w:lineRule="atLeast"/>
        <w:ind w:left="5670"/>
        <w:jc w:val="both"/>
        <w:rPr>
          <w:sz w:val="28"/>
          <w:szCs w:val="28"/>
        </w:rPr>
      </w:pPr>
    </w:p>
    <w:p w14:paraId="141C931E" w14:textId="77777777" w:rsidR="00776BA7" w:rsidRPr="00830611" w:rsidRDefault="00776BA7" w:rsidP="00830611">
      <w:pPr>
        <w:widowControl w:val="0"/>
        <w:spacing w:line="240" w:lineRule="atLeast"/>
        <w:ind w:left="5670"/>
        <w:jc w:val="both"/>
        <w:rPr>
          <w:sz w:val="28"/>
          <w:szCs w:val="28"/>
        </w:rPr>
      </w:pPr>
      <w:r w:rsidRPr="00830611">
        <w:rPr>
          <w:sz w:val="28"/>
          <w:szCs w:val="28"/>
        </w:rPr>
        <w:t xml:space="preserve">Приложение </w:t>
      </w:r>
      <w:r w:rsidR="00564A5B" w:rsidRPr="00830611">
        <w:rPr>
          <w:sz w:val="28"/>
          <w:szCs w:val="28"/>
        </w:rPr>
        <w:t>98</w:t>
      </w:r>
    </w:p>
    <w:p w14:paraId="27449854" w14:textId="77777777" w:rsidR="00777B1F" w:rsidRPr="00830611" w:rsidRDefault="00777B1F" w:rsidP="00830611">
      <w:pPr>
        <w:widowControl w:val="0"/>
        <w:ind w:left="5670"/>
        <w:jc w:val="both"/>
        <w:rPr>
          <w:sz w:val="28"/>
          <w:szCs w:val="28"/>
          <w:lang w:val="kk-KZ"/>
        </w:rPr>
      </w:pPr>
      <w:r w:rsidRPr="00830611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0D948B5C" w14:textId="77777777" w:rsidR="00776BA7" w:rsidRPr="00830611" w:rsidRDefault="00777B1F" w:rsidP="00830611">
      <w:pPr>
        <w:widowControl w:val="0"/>
        <w:spacing w:line="240" w:lineRule="atLeast"/>
        <w:ind w:left="5670"/>
        <w:jc w:val="both"/>
        <w:rPr>
          <w:sz w:val="28"/>
          <w:szCs w:val="28"/>
        </w:rPr>
      </w:pPr>
      <w:r w:rsidRPr="00830611">
        <w:rPr>
          <w:sz w:val="28"/>
          <w:szCs w:val="28"/>
          <w:lang w:val="kk-KZ"/>
        </w:rPr>
        <w:t>от 20 января 2020 года № 39</w:t>
      </w:r>
    </w:p>
    <w:p w14:paraId="16B30EC8" w14:textId="77777777" w:rsidR="0099366C" w:rsidRPr="00830611" w:rsidRDefault="0099366C" w:rsidP="00830611">
      <w:pPr>
        <w:jc w:val="both"/>
        <w:rPr>
          <w:sz w:val="28"/>
          <w:szCs w:val="28"/>
        </w:rPr>
      </w:pPr>
    </w:p>
    <w:p w14:paraId="7F744D54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Правила составления налоговой отчетности "Декларация для плательщиков единого земельного налога (форма 920.00)"</w:t>
      </w:r>
    </w:p>
    <w:p w14:paraId="2BC79C02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1. Общие положения</w:t>
      </w:r>
    </w:p>
    <w:p w14:paraId="23B8C26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1. Настоящие Правила составления налоговой отчетности "Декларация для плательщиков единого земельного налога (форма 920.00)" (далее – Правила) разработаны в соответствии с </w:t>
      </w:r>
      <w:hyperlink r:id="rId7" w:anchor="z778" w:history="1">
        <w:r w:rsidRPr="00830611">
          <w:rPr>
            <w:rStyle w:val="af6"/>
            <w:color w:val="073A5E"/>
            <w:spacing w:val="2"/>
            <w:sz w:val="28"/>
            <w:szCs w:val="28"/>
          </w:rPr>
          <w:t>Кодексом</w:t>
        </w:r>
      </w:hyperlink>
      <w:r w:rsidRPr="00830611">
        <w:rPr>
          <w:color w:val="000000"/>
          <w:spacing w:val="2"/>
          <w:sz w:val="28"/>
          <w:szCs w:val="28"/>
        </w:rPr>
        <w:t> Республики Казахстан "О налогах и других обязател</w:t>
      </w:r>
      <w:bookmarkStart w:id="0" w:name="_GoBack"/>
      <w:bookmarkEnd w:id="0"/>
      <w:r w:rsidRPr="00830611">
        <w:rPr>
          <w:color w:val="000000"/>
          <w:spacing w:val="2"/>
          <w:sz w:val="28"/>
          <w:szCs w:val="28"/>
        </w:rPr>
        <w:t>ьных платежах в бюджет" (Налоговый кодекс) (далее – Налоговый кодекс) и определяют порядок составления налоговой отчетности "Декларация для плательщиков единого земельного налога" (далее – декларация), предназначенной для исчисления единого земельного (далее – ЕЗН) и индивидуального подоходного налога (далее – ИПН), удерживаемого у источника выплаты, платы за пользование водными ресурсами поверхностных источников, а также социальных платежей. Декларация составляется налогоплательщиками, применяющими специальный налоговый режим для крестьянских или фермерских хозяйств.</w:t>
      </w:r>
    </w:p>
    <w:p w14:paraId="0205F24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2. Декларация состоит из самой декларации (форма 920.00) и приложений к ней (формы с 920.01 по 920.05), предназначенных для детального отражения информации об исчислении налогового обязательства.</w:t>
      </w:r>
    </w:p>
    <w:p w14:paraId="392C955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3. При заполнении декларации не допускаются исправления, подчистки и помарки.</w:t>
      </w:r>
    </w:p>
    <w:p w14:paraId="7E69F4A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4. При отсутствии показателей соответствующие ячейки декларации не заполняются.</w:t>
      </w:r>
    </w:p>
    <w:p w14:paraId="41DAED6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5. 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14:paraId="06D165E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6. Приложения к декларации не составляются при отсутствии данных, подлежащих отражению в них.</w:t>
      </w:r>
    </w:p>
    <w:p w14:paraId="2A3F033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4E6B4CF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8. В настоящих Правилах применяются следующие арифметические знаки: "+" – плюс, "–" – минус, "х" – умножение, "/" – деление, "=" – равно.</w:t>
      </w:r>
    </w:p>
    <w:p w14:paraId="05738BF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9. Отрицательные значения сумм обозначаются знаком "–" в первой левой ячейке соответствующей строки (графы) декларации.</w:t>
      </w:r>
    </w:p>
    <w:p w14:paraId="3CCDA1C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10. При составлении декларации:</w:t>
      </w:r>
    </w:p>
    <w:p w14:paraId="37C5273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17E387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электронной форме – заполняется в соответствии со </w:t>
      </w:r>
      <w:hyperlink r:id="rId8" w:anchor="z208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статьей 208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кодекса.</w:t>
      </w:r>
    </w:p>
    <w:p w14:paraId="024995D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</w:t>
      </w:r>
      <w:hyperlink r:id="rId9" w:anchor="z3902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2</w:t>
        </w:r>
      </w:hyperlink>
      <w:r w:rsidRPr="00830611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5C04F8D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12. При представлении декларации:</w:t>
      </w:r>
    </w:p>
    <w:p w14:paraId="45CB5DB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25D7583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516070A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BCD95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13. Данная форма распространяется на правоотношения, возникшие с 1 января 2022 года.</w:t>
      </w:r>
    </w:p>
    <w:p w14:paraId="18FB6D7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14. В разделах "Общая информация о налогоплательщике (налоговом агенте)" приложений указываются соответствующие данные, отраженные в разделе "Общая информация о налогоплательщике" Декларации.</w:t>
      </w:r>
    </w:p>
    <w:p w14:paraId="00A460C1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2. Пояснение по заполнению декларации (форма 920.00)</w:t>
      </w:r>
    </w:p>
    <w:p w14:paraId="3D2087C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15. В разделе "Общая информация о налогоплательщике (налоговом агенте)" налогоплательщик (налоговый агент) указывает следующие данные:</w:t>
      </w:r>
    </w:p>
    <w:p w14:paraId="2404E76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индивидуальный идентификационный номер (бизнес-идентификационный) номер (далее – ИИН (БИН)) налогоплательщика;</w:t>
      </w:r>
    </w:p>
    <w:p w14:paraId="6B2F56F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наименование налогоплательщика – фамилия, имя, отчество (при его наличии) физического лица и наименование крестьянского или фермерского хозяйства (при его наличии).</w:t>
      </w:r>
    </w:p>
    <w:p w14:paraId="1228A3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указываются 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3C23369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</w:t>
      </w:r>
    </w:p>
    <w:p w14:paraId="2DF3235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вид декларации. Соответствующие ячейки отмечаются с учетом отнесения декларации к видам налоговой отчетности, указанным в </w:t>
      </w:r>
      <w:hyperlink r:id="rId10" w:anchor="z206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 206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кодекса;</w:t>
      </w:r>
    </w:p>
    <w:p w14:paraId="63A08A1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номер и дата уведомления. Ячейки А и В заполняются при представлении вида декларации, предусмотренного </w:t>
      </w:r>
      <w:hyperlink r:id="rId11" w:anchor="z3914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4)</w:t>
        </w:r>
      </w:hyperlink>
      <w:r w:rsidRPr="00830611">
        <w:rPr>
          <w:color w:val="000000"/>
          <w:spacing w:val="2"/>
          <w:sz w:val="28"/>
          <w:szCs w:val="28"/>
        </w:rPr>
        <w:t> пункта 3 статьи 206 Налогового кодекса;</w:t>
      </w:r>
    </w:p>
    <w:p w14:paraId="20DD7B8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отдельные категории налогоплательщика в соответствии со </w:t>
      </w:r>
      <w:hyperlink r:id="rId12" w:anchor="z40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статьей 40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кодекса.</w:t>
      </w:r>
    </w:p>
    <w:p w14:paraId="6BD7C8B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Ячейки отмечаются если налогоплательщик относится к одной из категорий, указанных в строке А или В:</w:t>
      </w:r>
    </w:p>
    <w:p w14:paraId="503C384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А – доверительный управляющий;</w:t>
      </w:r>
    </w:p>
    <w:p w14:paraId="3147B1F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В – учредитель доверительного управления;</w:t>
      </w:r>
    </w:p>
    <w:p w14:paraId="2683371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7) код валюты, в соответствии с </w:t>
      </w:r>
      <w:hyperlink r:id="rId13" w:anchor="z4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приложением 23</w:t>
        </w:r>
      </w:hyperlink>
      <w:r w:rsidRPr="00830611">
        <w:rPr>
          <w:color w:val="000000"/>
          <w:spacing w:val="2"/>
          <w:sz w:val="28"/>
          <w:szCs w:val="28"/>
        </w:rPr>
        <w:t> 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12E4FF1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8) количество представленных приложений в соответствующей ячейке.</w:t>
      </w:r>
    </w:p>
    <w:p w14:paraId="761BD73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16. В разделе "Исчисление единого земельного налога":</w:t>
      </w:r>
    </w:p>
    <w:p w14:paraId="251D725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строке 920.00.001 указывается доход от реализации сельскохозяйственной продукции, продуктов переработки сельскохозяйственной продукции собственного производства, за исключением деятельности по производству, переработке и реализации подакцизных товаров за налоговый период по месту нахождения земельных участков;</w:t>
      </w:r>
    </w:p>
    <w:p w14:paraId="75B74C9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920.00.002 указывается сумма корректировки размера дохода в соответствии с </w:t>
      </w:r>
      <w:hyperlink r:id="rId14" w:anchor="z14883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6</w:t>
        </w:r>
      </w:hyperlink>
      <w:r w:rsidRPr="00830611">
        <w:rPr>
          <w:color w:val="000000"/>
          <w:spacing w:val="2"/>
          <w:sz w:val="28"/>
          <w:szCs w:val="28"/>
        </w:rPr>
        <w:t> статьи 703 Налогового кодекса, за налоговый период по месту нахождения земельных участков. Корректировкой признается увеличение размера дохода отчетного налогового периода или уменьшение размера дохода отчетного налогового периода в пределах суммы ранее признанного дохода;</w:t>
      </w:r>
    </w:p>
    <w:p w14:paraId="14021B6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строке 920.00.003 указывается доход после корректировки за налоговый период по месту нахождения земельных участков, определяемый как сумма строк 920.00.001 и 920.00.002.</w:t>
      </w:r>
    </w:p>
    <w:p w14:paraId="2FE2945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В строке 920.00.003 А указывается доход после корректировки, полученный с 1 января до 1 октября налогового периода;</w:t>
      </w:r>
    </w:p>
    <w:p w14:paraId="2261977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строке 920.00.004 указывается общая площадь земельных участков в гектарах, определяемая как сумма всех площадей земельных участков, указанных в строке 00001 графы D формы 920.01;</w:t>
      </w:r>
    </w:p>
    <w:p w14:paraId="14FD4DA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строке 920.00.005 указывается общая сумма исчисленного ЕЗН по месту нахождения земельных участков, имеющихся у крестьянского или фермерского хозяйства за налоговый период, определяемая по формуле 920.00.003 х 0,5 %, где 0,5 % – ставка ЕЗН;</w:t>
      </w:r>
    </w:p>
    <w:p w14:paraId="549814A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в строке 920.00.006 А указывается сумма исчисленного ЕЗН с учетом корректировки, в соответствии с </w:t>
      </w:r>
      <w:hyperlink r:id="rId15" w:anchor="z14883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6</w:t>
        </w:r>
      </w:hyperlink>
      <w:r w:rsidRPr="00830611">
        <w:rPr>
          <w:color w:val="000000"/>
          <w:spacing w:val="2"/>
          <w:sz w:val="28"/>
          <w:szCs w:val="28"/>
        </w:rPr>
        <w:t> статьи 703 Налогового кодекса,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периода, определяемая по формуле 920.00.003 А х 0,5 % где 0,5 % – ставка ЕЗН.</w:t>
      </w:r>
    </w:p>
    <w:p w14:paraId="695DD5A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В строке 920.00.006 В указывается сумма исчисленного ЕЗН с учетом корректировки, в соответствии с </w:t>
      </w:r>
      <w:hyperlink r:id="rId16" w:anchor="z14883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6</w:t>
        </w:r>
      </w:hyperlink>
      <w:r w:rsidRPr="00830611">
        <w:rPr>
          <w:color w:val="000000"/>
          <w:spacing w:val="2"/>
          <w:sz w:val="28"/>
          <w:szCs w:val="28"/>
        </w:rPr>
        <w:t> статьи 703 Налогового кодекса,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периодом, определяемая по формуле 920.00.005 – 920.00.006А.</w:t>
      </w:r>
    </w:p>
    <w:p w14:paraId="4FD9AF2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Согласно </w:t>
      </w:r>
      <w:hyperlink r:id="rId17" w:anchor="z183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 57-4</w:t>
        </w:r>
      </w:hyperlink>
      <w:r w:rsidRPr="00830611">
        <w:rPr>
          <w:color w:val="000000"/>
          <w:spacing w:val="2"/>
          <w:sz w:val="28"/>
          <w:szCs w:val="28"/>
        </w:rPr>
        <w:t> Закона Республики Казахстан "О введении в действие Кодекса Республики Казахстан "О налогах и других обязательных платежах в бюджет" (Налоговый кодекс)" (далее – Закон о введении), субъекты микро- и малого предпринимательства, применяющие специальные налоговые режимы и не осуществляющие отдельные виды деятельности, указанные в </w:t>
      </w:r>
      <w:hyperlink r:id="rId18" w:anchor="z183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 57-4</w:t>
        </w:r>
      </w:hyperlink>
      <w:r w:rsidRPr="00830611">
        <w:rPr>
          <w:color w:val="000000"/>
          <w:spacing w:val="2"/>
          <w:sz w:val="28"/>
          <w:szCs w:val="28"/>
        </w:rPr>
        <w:t> данного Закона, освобождаются от уплаты налога на доходы на три года c 1 января 2020 года до 1 января 2023 года.</w:t>
      </w:r>
    </w:p>
    <w:p w14:paraId="6D22067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соответствии условиям применения положений статьи 57-4 Закона о введении, налогоплательщик вправе заменить исчисленную сумму налогов, подлежащих уплате в бюджет, на нулевой показатель;</w:t>
      </w:r>
    </w:p>
    <w:p w14:paraId="4D5F217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7) в строке 920.00.007 указывается среднесписочная численность работников за каждый месяц налогового периода.</w:t>
      </w:r>
    </w:p>
    <w:p w14:paraId="5594372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Среднесписочная численность работников за месяц исчисляется путем суммирования численности работников за каждый календарный день месяца, то есть с 1 по 30 или 31 число (для февраля – по 28 или 29 число), включая праздничные (нерабочие) и выходные дни, и деления полученной суммы на число календарных дней месяца.</w:t>
      </w:r>
    </w:p>
    <w:p w14:paraId="3214102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Среднесписочная численность работников за год определяется путем суммирования среднесписочной численности работников за все месяцы отчетного года и деления полученной суммы на 12.</w:t>
      </w:r>
    </w:p>
    <w:p w14:paraId="46BDA61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среднесписочная численность работников составит дробное значение от 0,5 и выше, то такое значение подлежит округлению до целой единицы, значение ниже 0,5 округлению не подлежит.</w:t>
      </w:r>
    </w:p>
    <w:p w14:paraId="7499204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17. В разделе "Исчисление социальных платежей за главу и членов хозяйства, включая совершеннолетних":</w:t>
      </w:r>
    </w:p>
    <w:p w14:paraId="3178744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строки 920.00.008 I – 920.00.008 XII предназначены для отражения сумм доходов главы и членов хозяйства, с которых в соответствии с </w:t>
      </w:r>
      <w:hyperlink r:id="rId19" w:anchor="z8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Республики Казахстан "Об обязательном социальном страховании" (далее – Закон об обязательном социальном страховании) исчисляются социальные отчисления за каждый месяц налогового периода.</w:t>
      </w:r>
    </w:p>
    <w:p w14:paraId="75108C1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Строка 920.00.008 XIII предназначена для отражения итоговой суммы доходов главы и членов хозяйства, с которых исчисляются социальные отчисления, определяемая суммированием показателей строк 920.00.008 I – 920.00.008 XII за все месяцы налогового периода;</w:t>
      </w:r>
    </w:p>
    <w:p w14:paraId="16DB748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строки 920.00.009 I – 920.00.009 XII предназначены для отражения сумм социальных отчислений за главу и членов хозяйства, определяемых в соответствии с </w:t>
      </w:r>
      <w:hyperlink r:id="rId20" w:anchor="z8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об обязательном социальном страховании за каждый месяц налогового периода.</w:t>
      </w:r>
    </w:p>
    <w:p w14:paraId="7C12F43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Итоговая сумма социальных отчислений за главу и членов хозяйства в строке "Итого за год", определяемая суммированием показателей строк 920.00.009 I - 920.00.009 XII за все месяцы налогового периода;</w:t>
      </w:r>
    </w:p>
    <w:p w14:paraId="7E2F447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строки 920.00.010 I – 920.00.010 XII предназначены для отражения сумм доходов, начисленных главе и членам хозяйства, с которых удерживаются (начисляются) обязательные пенсионные взносы в соответствии </w:t>
      </w:r>
      <w:hyperlink r:id="rId21" w:anchor="z1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Республики Казахстан "О пенсионном обеспечении в Республике Казахстан" (далее – Закон о пенсионном обеспечении) за каждый месяц налогового периода.</w:t>
      </w:r>
    </w:p>
    <w:p w14:paraId="7662272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Итоговая сумма доходов, начисленных главе и членам хозяйства, с которых удерживаются (начисляются) обязательные пенсионные взносы в строке "Итого за год", определяемая суммированием показателей строк 920.00.010 I – 920.00.010 XII за все месяцы налогового периода;</w:t>
      </w:r>
    </w:p>
    <w:p w14:paraId="2E83E2B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строки 920.00.011 I – 920.00.011 XII предназначены для отражения сумм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соответствии с </w:t>
      </w:r>
      <w:hyperlink r:id="rId22" w:anchor="z1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пенсионном обеспечении за каждый месяц налогового периода.</w:t>
      </w:r>
    </w:p>
    <w:p w14:paraId="149E976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Итоговая сумма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строке "Итого за год", определяемая суммированием показателей строк 920.00.011 I – 920.00.011 XII за все месяцы налогового периода;</w:t>
      </w:r>
    </w:p>
    <w:p w14:paraId="2323E28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строки 920.00.012 I – 920.00.012 XII предназначены для отражения сумм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соответствии с </w:t>
      </w:r>
      <w:hyperlink r:id="rId23" w:anchor="z4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Республики Казахстан "Об обязательном социальном медицинском страховании" (далее – Закон об обязательном социальном медицинском страховании) за каждый месяц налогового периода.</w:t>
      </w:r>
    </w:p>
    <w:p w14:paraId="32B5214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Итоговая сумма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строке "Итого за год", определяемая суммированием показателей строк 920.00.012 I – 920.00.012 XII за все месяцы налогового периода.</w:t>
      </w:r>
    </w:p>
    <w:p w14:paraId="69CAF71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18. В разделе "Начисленные доходы физических лиц":</w:t>
      </w:r>
    </w:p>
    <w:p w14:paraId="2A75F3B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строках 920.00.013 I – 920.00.013 XII указываются суммы доходов, начисленных налоговым агентом физическим лицам, в том числе иностранцам и лицам без гражданства, за каждый месяц отчетного периода.</w:t>
      </w:r>
    </w:p>
    <w:p w14:paraId="0A137C7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920.00.013 XIII "Итого за год" предназначена для отражения итоговой суммы доходов за отчетный период, определяемой как сумма строк 920.00.013 I – 920.00.013 XII.</w:t>
      </w:r>
    </w:p>
    <w:p w14:paraId="289A919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920.00.013 XIII включает, в том числе, сумму строк 920.00.013 А и 920.00.013 Е;</w:t>
      </w:r>
    </w:p>
    <w:p w14:paraId="4CCEFAD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920.00.013 А указывается сумма доходов, начисленных работникам за отчетный период;</w:t>
      </w:r>
    </w:p>
    <w:p w14:paraId="3B7A909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строке 920.00.013 В указывается сумма начисленных доходов в виде дивидендов за отчетный период;</w:t>
      </w:r>
    </w:p>
    <w:p w14:paraId="6809629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строке 920.00.013 С указывается сумма начисленных доходов в виде выигрышей за отчетный период;</w:t>
      </w:r>
    </w:p>
    <w:p w14:paraId="4B1933F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строке 920.00.013 D указывается сумма начисленных доходов в виде вознаграждения за отчетный период;</w:t>
      </w:r>
    </w:p>
    <w:p w14:paraId="20EB928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в строке 920.00.013 Е указывается сумма начисленных доходов по договорам гражданско-правового характера предметом которых является оказание услуг, выполнение работ за отчетный период.</w:t>
      </w:r>
    </w:p>
    <w:p w14:paraId="0860177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19. В разделе "Исчисление индивидуального подоходного налога и социальных платежей физических лиц":</w:t>
      </w:r>
    </w:p>
    <w:p w14:paraId="696FDC7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строках с 920.00.014 I по 920.00.014 ХII указывается сумма ИПН, исчисленного с доходов граждан Республики Казахстан, выплаченных физическим лицам, и подлежащего перечислению в бюджет за каждый месяц отчетного периода.</w:t>
      </w:r>
    </w:p>
    <w:p w14:paraId="036A4EC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Строка 920.00.014 ХIII предназначена для отражения итоговой суммы ИПН, исчисленного с доходов граждан Республики Казахстан за год, определяемая как сумма строк с 920.00.014 I по 920.00.014 ХII;</w:t>
      </w:r>
    </w:p>
    <w:p w14:paraId="205BDD1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строках с 920.00.015 I по 920.00.015 XII указывается сумма ИПН, исчисленного с доходов иностранцев и лиц без гражданства, выплаченных физическим лицам, и подлежащего перечислению в бюджет за каждый месяц отчетного периода.</w:t>
      </w:r>
    </w:p>
    <w:p w14:paraId="7F3D7DD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920.00.015 ХIII предназначена для отражения итоговой суммы ИПН, исчисленного с доходов иностранцев и лиц без гражданства за год, определяемая как сумма строк с 920.00.015 I по 920.00.015 XII;</w:t>
      </w:r>
    </w:p>
    <w:p w14:paraId="7510992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строках с 920.00.016 I по 920.00.016 XII указывается сумма расходов работодателя, выплачиваемых физическим лицам в виде доходов за налоговый период в соответствии с Законом об обязательном социальном страховании, за каждый месяц отчетного периода.</w:t>
      </w:r>
    </w:p>
    <w:p w14:paraId="18D18D6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этом социальные отчисления производятся в размере, установленном законодательством об обязательном социальном страховании от объекта исчисления социальных отчислений. Ежемесячный доход, принимаемый для исчисления социальных отчислений, не должен превышать семикратный размер минимальной заработной платы, устанавливаемой </w:t>
      </w:r>
      <w:hyperlink r:id="rId24" w:anchor="z3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республиканском бюджете и действующего на начало соответствующего финансового года (далее – Закон о республиканском бюджете).</w:t>
      </w:r>
    </w:p>
    <w:p w14:paraId="3A2A362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объект исчисления социальных отчислений за календарный месяц менее минимального размера заработной платы, установленного </w:t>
      </w:r>
      <w:hyperlink r:id="rId25" w:anchor="z3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республиканском бюджете, то социальные отчисления исчисляются, перечисляются исходя из минимального размера заработной платы.</w:t>
      </w:r>
    </w:p>
    <w:p w14:paraId="006B730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920.00.016 ХIII предназначена для отражения итоговой суммы доходов физических лиц, с которых исчисляются социальные отчисления за год, определяемая как сумма строк с 920.00.016 I по 920.00.016 ХII;</w:t>
      </w:r>
    </w:p>
    <w:p w14:paraId="35294BC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строках с 920.00.017 I по 920.00.017 XII указывается сумма социальных отчислений за каждый месяц отчетного периода.</w:t>
      </w:r>
    </w:p>
    <w:p w14:paraId="0C4D08E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920.00.017 ХIII предназначена для отражения итоговой суммы социальных отчислений за год, определяемая как сумма строк с 920.00.017 I по 920.00.017 ХII;</w:t>
      </w:r>
    </w:p>
    <w:p w14:paraId="025A813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5) в строках с 920.00.018 І по 920.00.018 XII указывается сумма доходов, начисленных физическим лицам, с которых удерживаются (начисляются) обязательные пенсионные взносы за каждый месяц отчетного периода.</w:t>
      </w:r>
    </w:p>
    <w:p w14:paraId="651AB74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920.00.018 ХIII предназначена для отражения итоговой суммы доходов, начисленных физическим лицам, с которых удерживаются (начисляются) обязательные пенсионные взносы за год, определяемая как сумма строк с 920.00.018 І по 920.00.018 XII.</w:t>
      </w:r>
    </w:p>
    <w:p w14:paraId="4CF741F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этом ежемесячный доход, принимаемый для исчисления обязательных пенсионных взносов, не должен превышать 50-кратный минимальный размер заработной платы, установленный на соответствующий финансовый год </w:t>
      </w:r>
      <w:hyperlink r:id="rId26" w:anchor="z3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республиканском бюджете;</w:t>
      </w:r>
    </w:p>
    <w:p w14:paraId="44AB1F0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в строках с 920.00.019 I по 920.00.019 XII указывается сумма обязательных пенсионных взносов,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73D288D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920.00.019 XIII предназначена для отражения итоговой суммы обязательных пенсионных взносов за год, определяемая как сумма строк с 920.00.019 I по 920.00.019 XII;</w:t>
      </w:r>
    </w:p>
    <w:p w14:paraId="6ED8818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7) в строках с 920.00.020 I по 920.00.020 XII указывается сумма доходов, начисленных физическим лицам, с которых исчисляются (начисляются) обязательные профессиональные пенсионные взносы за каждый месяц отчетного периода в соответствии с </w:t>
      </w:r>
      <w:hyperlink r:id="rId27" w:anchor="z1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пенсионном обеспечении.</w:t>
      </w:r>
    </w:p>
    <w:p w14:paraId="02ED5D8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920.00.020 XIII предназначена для отражения итоговой суммы доходов, начисленных физическим лицам, с которых исчисляются (начисляются) обязательные профессиональные пенсионные взносы за год в соответствии с </w:t>
      </w:r>
      <w:hyperlink r:id="rId28" w:anchor="z1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пенсионном обеспечении, определяемая как сумма строк с 920.00.020 I по 920.00.020 XII;</w:t>
      </w:r>
    </w:p>
    <w:p w14:paraId="6729BCE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8) в строках с 920.00.021 I по 920.00.021 XII указывается сумма обязательных профессиональных пенсионных взносов за каждый месяц отчетного периода.</w:t>
      </w:r>
    </w:p>
    <w:p w14:paraId="474131A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920.00.021 XIII предназначена для отражения итоговой суммы обязательных профессиональных пенсионных взносов за год, определяемая как сумма строк с 920.00.021 I по 920.00.021 XII;</w:t>
      </w:r>
    </w:p>
    <w:p w14:paraId="2B1BB46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9) в строках с 920.00.022 I по 920.00.022 XII указывается сумма доходов, принимаемые для исчисления взносов и отчислений на обязательное социальное медицинское страхование в соответствии с </w:t>
      </w:r>
      <w:hyperlink r:id="rId29" w:anchor="z4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 xml:space="preserve"> об </w:t>
      </w:r>
      <w:r w:rsidRPr="00830611">
        <w:rPr>
          <w:color w:val="000000"/>
          <w:spacing w:val="2"/>
          <w:sz w:val="28"/>
          <w:szCs w:val="28"/>
        </w:rPr>
        <w:lastRenderedPageBreak/>
        <w:t>обязательном социальном медицинском страховании, за каждый месяц отчетного периода.</w:t>
      </w:r>
    </w:p>
    <w:p w14:paraId="60E5C01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920.00.022 XIII предназначена для отражения итоговой суммы доходов, принимаемые для исчисления взносов и отчислений на обязательное социальное медицинское страхование в соответствии с </w:t>
      </w:r>
      <w:hyperlink r:id="rId30" w:anchor="z4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об обязательном социальном медицинском страховании за год, определяемая как сумма строк с 920.00.022 I по 920.00.022 XII;</w:t>
      </w:r>
    </w:p>
    <w:p w14:paraId="6907344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10) в строках с 920.00.023 I по 920.00.023 XII указывается сумма взносов и отчислений на обязательное социальное медицинское страхование за физических лиц за каждый месяц отчетного периода в соответствии с </w:t>
      </w:r>
      <w:hyperlink r:id="rId31" w:anchor="z8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об обязательном социальном медицинском страховании.</w:t>
      </w:r>
    </w:p>
    <w:p w14:paraId="546D86A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Строка 920.00.023 XIII предназначена для отражения итоговой суммы взносов и отчислений на обязательное социальное медицинское страхование за физических лиц за год, определяемая как сумма строк с 920.00.023 I по 920.00.023 XII.</w:t>
      </w:r>
    </w:p>
    <w:p w14:paraId="08D355A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20. В разделе "Ответственность налогоплательщика (налогового агента)":</w:t>
      </w:r>
    </w:p>
    <w:p w14:paraId="2E89250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поле "Фамилия, имя, отчество (при его наличии) налогоплательщика (руководителя)" указываются фамилия, имя, отчество (при его наличии) руководителя в соответствии с учредительными документами. Если декларация представляется физическим лицом, в поле указывается фамилия, имя, отчество (при его наличии) налогоплательщика в соответствии с документами, удостоверяющими личность;</w:t>
      </w:r>
    </w:p>
    <w:p w14:paraId="5E5F77E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дата подачи декларации – дата представления декларации в орган государственных доходов;</w:t>
      </w:r>
    </w:p>
    <w:p w14:paraId="0F88CA3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код органа государственных доходов по месту нахождения земельных участков;</w:t>
      </w:r>
    </w:p>
    <w:p w14:paraId="0DC36BC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код органа государственных доходов по месту жительства физического лица.</w:t>
      </w:r>
    </w:p>
    <w:p w14:paraId="1D09FD5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2349DDB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поле "Фамилия,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декларацию;</w:t>
      </w:r>
    </w:p>
    <w:p w14:paraId="63CB4B6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6) дата приема декларации – дата представления декларации в соответствии с </w:t>
      </w:r>
      <w:hyperlink r:id="rId32" w:anchor="z3959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2</w:t>
        </w:r>
      </w:hyperlink>
      <w:r w:rsidRPr="00830611">
        <w:rPr>
          <w:color w:val="000000"/>
          <w:spacing w:val="2"/>
          <w:sz w:val="28"/>
          <w:szCs w:val="28"/>
        </w:rPr>
        <w:t> статьи 209 Налогового кодекса;</w:t>
      </w:r>
    </w:p>
    <w:p w14:paraId="0919C3A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7) входящий номер документа – регистрационный номер декларации, присваиваемый органом государственных доходов;</w:t>
      </w:r>
    </w:p>
    <w:p w14:paraId="3C72DD5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8) дата почтового штемпеля – дата почтового штемпеля, проставленного почтовой или иной организацией связи.</w:t>
      </w:r>
    </w:p>
    <w:p w14:paraId="1DA1407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4E341A55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3. Пояснение по заполнению формы 920.01 – Сведения по земельным участкам</w:t>
      </w:r>
    </w:p>
    <w:p w14:paraId="3FE312A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21. Форма 920.01 предназначена для отражения информации по каждому земельному участку:</w:t>
      </w:r>
    </w:p>
    <w:p w14:paraId="05509B5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имеющемуся на праве частной собственности, первичного землепользования, в том числе по земельным участкам, переданным в аренду;</w:t>
      </w:r>
    </w:p>
    <w:p w14:paraId="006340C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имеющемуся на праве вторичного землепользования.</w:t>
      </w:r>
    </w:p>
    <w:p w14:paraId="7AB9D22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наличии у налогоплательщика земельных участков, имеющих разные показатели (периоды владения, идентификационные документы на земельные участки и так далее), по каждому земельному участку заполняется отдельная строка приложения по форме 920.01.</w:t>
      </w:r>
    </w:p>
    <w:p w14:paraId="45C058F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22. В данной форме указываются сведения по земельным участкам, по которым в соответствии с </w:t>
      </w:r>
      <w:hyperlink r:id="rId33" w:anchor="z12664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земельного налога и (или) платы за пользование земельными участками.</w:t>
      </w:r>
    </w:p>
    <w:p w14:paraId="7F22F84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наличии земельных участков, находящихся на территориях различных городов районного значения, поселков, сел, сельских округов, форма 920.01 по каждому такому городу районного значения, поселку, селу, сельскому округу заполняется отдельно.</w:t>
      </w:r>
    </w:p>
    <w:p w14:paraId="7B9C1DE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23. В разделе "Сведения по земельным участкам плательщиков единого земельного налога" указываются следующие данные:</w:t>
      </w:r>
    </w:p>
    <w:p w14:paraId="2F34EE6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1) в строке 1 бизнес-идентификационный номер (БИН) аппарата акима города районного значения, поселка, села, сельского округа по месту нахождения земельного участка;</w:t>
      </w:r>
    </w:p>
    <w:p w14:paraId="1CABCA0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графе А строки 2 порядковый номер строки;</w:t>
      </w:r>
    </w:p>
    <w:p w14:paraId="05714C4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графе B строки 2 кадастровый номер земельного участка, по которому заполняется соответствующая строка данной формы;</w:t>
      </w:r>
    </w:p>
    <w:p w14:paraId="6686FC7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графе C строки 2 отмечается ячейка по земельным участкам, имеющимся на праве вторичного землепользования;</w:t>
      </w:r>
    </w:p>
    <w:p w14:paraId="638FD9B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графе D строки 2 площадь данного земельного участка в гектарах.</w:t>
      </w:r>
    </w:p>
    <w:p w14:paraId="20A0FB3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24. В разделе "Показатели":</w:t>
      </w:r>
    </w:p>
    <w:p w14:paraId="5AD1E80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1) в строке 920.01.001 указывается удельный вес общей площади всех земельных участков, находящихся на территории данного города районного значения, поселка, села, сельского округа по </w:t>
      </w:r>
      <w:proofErr w:type="spellStart"/>
      <w:r w:rsidRPr="00830611">
        <w:rPr>
          <w:color w:val="000000"/>
          <w:spacing w:val="2"/>
          <w:sz w:val="28"/>
          <w:szCs w:val="28"/>
        </w:rPr>
        <w:t>БИНу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аппарата акима города районного значения, поселка, села, сельского округа, который определяется как соотношение общей площади таких земельных участков, указанной в строке 0001 графы D данной формы, к общей площади всех земельных участков (имеющихся у налогоплательщика на праве частной собственности, первичного землепользования, в том числе по земельным участкам, переданным в аренду, а также имеющихся у налогоплательщика на праве вторичного землепользования) указанной в строке 920.00.004 формы 920.00.</w:t>
      </w:r>
    </w:p>
    <w:p w14:paraId="41BF7B8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К примеру,</w:t>
      </w:r>
    </w:p>
    <w:p w14:paraId="69F3F21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площадь земельных участков, находящихся на территории поселка "А" – 3000 гектара, площадь земельных участков, находящихся на территории села "В" – 2000 гектара, всего общая площадь всех земельных участков – 5000 гектаров. Удельный вес по поселку "А" составит (3000х100%)/5000=60%, удельный вес по селу "В" составит (2000х100%)/5000=40%;</w:t>
      </w:r>
    </w:p>
    <w:p w14:paraId="4E9A5D3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920.01.002 указывается сумма исчисленного ЕЗН по месту нахождения земельных участков, имеющихся у крестьянского или фермерского хозяйства за налоговый период, определяемая как произведение строки 920.00.005 и строки 920.01.001;</w:t>
      </w:r>
    </w:p>
    <w:p w14:paraId="12F6645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строке 920.01.003 указывается сумма исчисленного ЕЗН с учетом корректировки, в соответствии с </w:t>
      </w:r>
      <w:hyperlink r:id="rId34" w:anchor="z14883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6</w:t>
        </w:r>
      </w:hyperlink>
      <w:r w:rsidRPr="00830611">
        <w:rPr>
          <w:color w:val="000000"/>
          <w:spacing w:val="2"/>
          <w:sz w:val="28"/>
          <w:szCs w:val="28"/>
        </w:rPr>
        <w:t xml:space="preserve"> статьи 703 Налогового кодекса, за </w:t>
      </w:r>
      <w:r w:rsidRPr="00830611">
        <w:rPr>
          <w:color w:val="000000"/>
          <w:spacing w:val="2"/>
          <w:sz w:val="28"/>
          <w:szCs w:val="28"/>
        </w:rPr>
        <w:lastRenderedPageBreak/>
        <w:t>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периода, определяемая как произведение строки 920.00.006 А формы 920.00 и строки 920.01.001;</w:t>
      </w:r>
    </w:p>
    <w:p w14:paraId="117520C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строке 920.01.004 указывается сумма исчисленного ЕЗН с учетом корректировки, в соответствии с </w:t>
      </w:r>
      <w:hyperlink r:id="rId35" w:anchor="z14883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6</w:t>
        </w:r>
      </w:hyperlink>
      <w:r w:rsidRPr="00830611">
        <w:rPr>
          <w:color w:val="000000"/>
          <w:spacing w:val="2"/>
          <w:sz w:val="28"/>
          <w:szCs w:val="28"/>
        </w:rPr>
        <w:t> статьи 703 Налогового кодекса,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периодом, определяемая как разница строки 920.01.002 и строки 920.01.003.</w:t>
      </w:r>
    </w:p>
    <w:p w14:paraId="55770F5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Согласно </w:t>
      </w:r>
      <w:hyperlink r:id="rId36" w:anchor="z183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 57-4</w:t>
        </w:r>
      </w:hyperlink>
      <w:r w:rsidRPr="00830611">
        <w:rPr>
          <w:color w:val="000000"/>
          <w:spacing w:val="2"/>
          <w:sz w:val="28"/>
          <w:szCs w:val="28"/>
        </w:rPr>
        <w:t> Закона о введении, субъекты микро- и малого предпринимательства, применяющие специальные налоговые режимы и не осуществляющие отдельные виды деятельности, указанные в </w:t>
      </w:r>
      <w:hyperlink r:id="rId37" w:anchor="z183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 57-4</w:t>
        </w:r>
      </w:hyperlink>
      <w:r w:rsidRPr="00830611">
        <w:rPr>
          <w:color w:val="000000"/>
          <w:spacing w:val="2"/>
          <w:sz w:val="28"/>
          <w:szCs w:val="28"/>
        </w:rPr>
        <w:t> данного Закона, освобождаются от уплаты налога на доходы на три года c 1 января 2020 года до 1 января 2023 года.</w:t>
      </w:r>
    </w:p>
    <w:p w14:paraId="53954EE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соответствии условиям применения положений </w:t>
      </w:r>
      <w:hyperlink r:id="rId38" w:anchor="z183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статьи 57-4</w:t>
        </w:r>
      </w:hyperlink>
      <w:r w:rsidRPr="00830611">
        <w:rPr>
          <w:color w:val="000000"/>
          <w:spacing w:val="2"/>
          <w:sz w:val="28"/>
          <w:szCs w:val="28"/>
        </w:rPr>
        <w:t> Закона о введении, налогоплательщик вправе заменить исчисленную сумму налогов, подлежащих уплате в бюджет, на нулевой показатель.</w:t>
      </w:r>
    </w:p>
    <w:p w14:paraId="2200F83E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4. Пояснение по заполнению формы 920.02 – Исчисление налогов и социальных платежей по доходам физических лиц</w:t>
      </w:r>
    </w:p>
    <w:p w14:paraId="1A4033D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25. Данная форма предназначена для исчисления налога и социальных платежей с доходов физических лиц, облагаемых у источника выплаты, за исключением иностранцев и лиц без гражданства.</w:t>
      </w:r>
    </w:p>
    <w:p w14:paraId="2C10DC3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26. В разделе "Общая информация о налогоплательщике (налоговом агенте, агенте или плательщике социальных платежей)" – ИИН (БИН) налогоплательщика.</w:t>
      </w:r>
    </w:p>
    <w:p w14:paraId="1DDC735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27. В разделе "Исчисление налога и социальных платежей с доходов физических лиц":</w:t>
      </w:r>
    </w:p>
    <w:p w14:paraId="2D425A4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графе А проставляется очередной порядковый номер;</w:t>
      </w:r>
    </w:p>
    <w:p w14:paraId="658F198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графе В указываются фамилия, имя, отчество (при его наличии) физических лиц, которым начислены доходы в отчетном периоде;</w:t>
      </w:r>
    </w:p>
    <w:p w14:paraId="3DD457C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графе C указываются ИИН физических лиц;</w:t>
      </w:r>
    </w:p>
    <w:p w14:paraId="1637EBB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графе D указывается статус физического лица:</w:t>
      </w:r>
    </w:p>
    <w:p w14:paraId="7A5AD2C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1 – физическое лицо, получившее доход работника (по трудовому договору/контракту), в том числе в виде натуральной и материальной выгоды, прощения долга, а также безвозмездно полученного имущества;</w:t>
      </w:r>
    </w:p>
    <w:p w14:paraId="0955DDF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физическое лицо, получившее доходы по договорам гражданско-правового характера предметом которых является оказание услуг, выполнение работ, в том числе в виде прощения долга;</w:t>
      </w:r>
    </w:p>
    <w:p w14:paraId="3E30F7F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 – физическое лицо, получившее доход в виде выигрыша;</w:t>
      </w:r>
    </w:p>
    <w:p w14:paraId="77A5912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 – физическое лицо, получившее доходы в виде пенсионных выплат;</w:t>
      </w:r>
    </w:p>
    <w:p w14:paraId="25BE578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5 – физическое лицо, получившее доходы в виде вознаграждения по операциям </w:t>
      </w:r>
      <w:proofErr w:type="spellStart"/>
      <w:r w:rsidRPr="00830611">
        <w:rPr>
          <w:color w:val="000000"/>
          <w:spacing w:val="2"/>
          <w:sz w:val="28"/>
          <w:szCs w:val="28"/>
        </w:rPr>
        <w:t>репо</w:t>
      </w:r>
      <w:proofErr w:type="spellEnd"/>
      <w:r w:rsidRPr="00830611">
        <w:rPr>
          <w:color w:val="000000"/>
          <w:spacing w:val="2"/>
          <w:sz w:val="28"/>
          <w:szCs w:val="28"/>
        </w:rPr>
        <w:t>;</w:t>
      </w:r>
    </w:p>
    <w:p w14:paraId="12302E6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6 – физическое лицо, получившее доходы в виде вознаграждений, за исключением вознаграждения по операциям </w:t>
      </w:r>
      <w:proofErr w:type="spellStart"/>
      <w:r w:rsidRPr="00830611">
        <w:rPr>
          <w:color w:val="000000"/>
          <w:spacing w:val="2"/>
          <w:sz w:val="28"/>
          <w:szCs w:val="28"/>
        </w:rPr>
        <w:t>репо</w:t>
      </w:r>
      <w:proofErr w:type="spellEnd"/>
      <w:r w:rsidRPr="00830611">
        <w:rPr>
          <w:color w:val="000000"/>
          <w:spacing w:val="2"/>
          <w:sz w:val="28"/>
          <w:szCs w:val="28"/>
        </w:rPr>
        <w:t>;</w:t>
      </w:r>
    </w:p>
    <w:p w14:paraId="5D71223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 – физическое лицо, получившее доходы в виде дивидендов;</w:t>
      </w:r>
    </w:p>
    <w:p w14:paraId="583BBC4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 – физическое лицо, получившее доходы в виде стипендий;</w:t>
      </w:r>
    </w:p>
    <w:p w14:paraId="06B1DCA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9 – физическое лицо, получившее доходы по договорам накопительного страхования;</w:t>
      </w:r>
    </w:p>
    <w:p w14:paraId="706A169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 – физическое лицо, получившее доходы от личного подсобного хозяйства;</w:t>
      </w:r>
    </w:p>
    <w:p w14:paraId="30F122E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 – физическое лицо, получившее иные доходы, облагаемые у источника выплаты, за исключением указанных выше.</w:t>
      </w:r>
    </w:p>
    <w:p w14:paraId="2DD4CA9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у физического лица произведены выплаты в виде нескольких видов доходов, каждый из перечисленных доходов подлежит заполнению отдельной строкой;</w:t>
      </w:r>
    </w:p>
    <w:p w14:paraId="576BDD9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графе E указывается категория физического лица:</w:t>
      </w:r>
    </w:p>
    <w:p w14:paraId="601FC2B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 – пенсионер;</w:t>
      </w:r>
    </w:p>
    <w:p w14:paraId="3D7CD0E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инвалид;</w:t>
      </w:r>
    </w:p>
    <w:p w14:paraId="7867D8A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3 –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42EF869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 – родитель, опекун, попечитель ребенка-инвалида, не достигшего восемнадцатилетнего возраста, или лица, признанного инвалидом по причине "инвалид с детства";</w:t>
      </w:r>
    </w:p>
    <w:p w14:paraId="7A0B158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 – усыновитель (</w:t>
      </w:r>
      <w:proofErr w:type="spellStart"/>
      <w:r w:rsidRPr="00830611">
        <w:rPr>
          <w:color w:val="000000"/>
          <w:spacing w:val="2"/>
          <w:sz w:val="28"/>
          <w:szCs w:val="28"/>
        </w:rPr>
        <w:t>удочеритель</w:t>
      </w:r>
      <w:proofErr w:type="spellEnd"/>
      <w:r w:rsidRPr="00830611">
        <w:rPr>
          <w:color w:val="000000"/>
          <w:spacing w:val="2"/>
          <w:sz w:val="28"/>
          <w:szCs w:val="28"/>
        </w:rPr>
        <w:t>) ребенка, не достигшего восемнадцатилетнего возраста;</w:t>
      </w:r>
    </w:p>
    <w:p w14:paraId="1645277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6 – приемный родитель, принявший детей-сирот и детей, оставшихся </w:t>
      </w:r>
      <w:proofErr w:type="spellStart"/>
      <w:r w:rsidRPr="00830611">
        <w:rPr>
          <w:color w:val="000000"/>
          <w:spacing w:val="2"/>
          <w:sz w:val="28"/>
          <w:szCs w:val="28"/>
        </w:rPr>
        <w:t>безпопечения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родителей, в приемную семью;</w:t>
      </w:r>
    </w:p>
    <w:p w14:paraId="760706C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 – дети;</w:t>
      </w:r>
    </w:p>
    <w:p w14:paraId="069BA2E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 –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1BC59B7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9 –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06EAD1E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10 – многодетные матери, награжденные подвесками "Алтын </w:t>
      </w:r>
      <w:proofErr w:type="spellStart"/>
      <w:r w:rsidRPr="00830611">
        <w:rPr>
          <w:color w:val="000000"/>
          <w:spacing w:val="2"/>
          <w:sz w:val="28"/>
          <w:szCs w:val="28"/>
        </w:rPr>
        <w:t>алқа</w:t>
      </w:r>
      <w:proofErr w:type="spellEnd"/>
      <w:r w:rsidRPr="00830611">
        <w:rPr>
          <w:color w:val="000000"/>
          <w:spacing w:val="2"/>
          <w:sz w:val="28"/>
          <w:szCs w:val="28"/>
        </w:rPr>
        <w:t>", "</w:t>
      </w:r>
      <w:proofErr w:type="spellStart"/>
      <w:r w:rsidRPr="00830611">
        <w:rPr>
          <w:color w:val="000000"/>
          <w:spacing w:val="2"/>
          <w:sz w:val="28"/>
          <w:szCs w:val="28"/>
        </w:rPr>
        <w:t>Күміс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830611">
        <w:rPr>
          <w:color w:val="000000"/>
          <w:spacing w:val="2"/>
          <w:sz w:val="28"/>
          <w:szCs w:val="28"/>
        </w:rPr>
        <w:t>алқа</w:t>
      </w:r>
      <w:proofErr w:type="spellEnd"/>
      <w:r w:rsidRPr="00830611">
        <w:rPr>
          <w:color w:val="000000"/>
          <w:spacing w:val="2"/>
          <w:sz w:val="28"/>
          <w:szCs w:val="28"/>
        </w:rPr>
        <w:t>" или получившие ранее звание "Мать-героиня", а также награжденные орденами "Материнская слава" I и II степени;</w:t>
      </w:r>
    </w:p>
    <w:p w14:paraId="7982FC9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11 – лица, обучающиеся по очной форме обучения в организациях среднего, технического и профессионального, </w:t>
      </w:r>
      <w:proofErr w:type="spellStart"/>
      <w:r w:rsidRPr="00830611">
        <w:rPr>
          <w:color w:val="000000"/>
          <w:spacing w:val="2"/>
          <w:sz w:val="28"/>
          <w:szCs w:val="28"/>
        </w:rPr>
        <w:t>послесреднего</w:t>
      </w:r>
      <w:proofErr w:type="spellEnd"/>
      <w:r w:rsidRPr="00830611">
        <w:rPr>
          <w:color w:val="000000"/>
          <w:spacing w:val="2"/>
          <w:sz w:val="28"/>
          <w:szCs w:val="28"/>
        </w:rPr>
        <w:t>, высшего образования, а также послевузовского образования.</w:t>
      </w:r>
    </w:p>
    <w:p w14:paraId="3121ABE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физическое лицо имеет несколько категорий, категории указываются через запятую;</w:t>
      </w:r>
    </w:p>
    <w:p w14:paraId="73CCEF2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в графе F указывается начисленные физическим лицам доходы;</w:t>
      </w:r>
    </w:p>
    <w:p w14:paraId="1800498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7) в графе G указывается корректировка, согласно </w:t>
      </w:r>
      <w:hyperlink r:id="rId39" w:anchor="z643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пункту 1</w:t>
        </w:r>
      </w:hyperlink>
      <w:r w:rsidRPr="00830611">
        <w:rPr>
          <w:color w:val="000000"/>
          <w:spacing w:val="2"/>
          <w:sz w:val="28"/>
          <w:szCs w:val="28"/>
        </w:rPr>
        <w:t> статьи 341 Налогового кодекса.</w:t>
      </w:r>
    </w:p>
    <w:p w14:paraId="5E123C5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Приложение заполняется на бумажном носителе, и если к доходу физического лица применено несколько видов корректировки доходов, каждый вид корректировки подлежит заполнению отдельной строкой;</w:t>
      </w:r>
    </w:p>
    <w:p w14:paraId="7CA12C6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8) в графе H указывается сумма корректировки в соответствии с </w:t>
      </w:r>
      <w:hyperlink r:id="rId40" w:anchor="z643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341 Налогового кодекса.</w:t>
      </w:r>
    </w:p>
    <w:p w14:paraId="4E30FC4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физического лица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484B04B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9) в графе I указывается сумма обязательных пенсионных взносов, исчисленных с начисленных доходов в соответствии с </w:t>
      </w:r>
      <w:hyperlink r:id="rId41" w:anchor="z1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пенсионном обеспечении;</w:t>
      </w:r>
    </w:p>
    <w:p w14:paraId="00FFA61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10) в графе J указывается сумма взносов на обязательное социальное медицинское страхование, исчисленных с начисленных доходов;</w:t>
      </w:r>
    </w:p>
    <w:p w14:paraId="6A926A4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11) в графе К указываются стандартные налоговые вычеты:</w:t>
      </w:r>
    </w:p>
    <w:p w14:paraId="0E044E6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 – один минимальный размер заработной платы, установленный </w:t>
      </w:r>
      <w:hyperlink r:id="rId42" w:anchor="z3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республиканском бюджете в соответствии с </w:t>
      </w:r>
      <w:hyperlink r:id="rId43" w:anchor="z242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1)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346 Налогового кодекса;</w:t>
      </w:r>
    </w:p>
    <w:p w14:paraId="563FDF1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882-кратный размер месячного расчетного показателя за календарный год в соответствии с </w:t>
      </w:r>
      <w:hyperlink r:id="rId44" w:anchor="z920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2)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346 Налогового кодекса;</w:t>
      </w:r>
    </w:p>
    <w:p w14:paraId="6B5D645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 – 882-кратный размер месячного расчетного показателя за календарный год в соответствии с </w:t>
      </w:r>
      <w:hyperlink r:id="rId45" w:anchor="z927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3)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346 Налогового кодекса.</w:t>
      </w:r>
    </w:p>
    <w:p w14:paraId="78E0582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Приложение заполняется на бумажном носителе, и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51A24FC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12) в графе L указывается сумма стандартных налоговых вычетов.</w:t>
      </w:r>
    </w:p>
    <w:p w14:paraId="5ADBFC2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44665DF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13) в графе M указываются прочие налоговые вычеты:</w:t>
      </w:r>
    </w:p>
    <w:p w14:paraId="262F536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 – налоговый вычет по добровольным пенсионным взносам;</w:t>
      </w:r>
    </w:p>
    <w:p w14:paraId="009F504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налоговый вычет на медицину;</w:t>
      </w:r>
    </w:p>
    <w:p w14:paraId="7AD6FC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3 – налоговый вычет по вознаграждениям.</w:t>
      </w:r>
    </w:p>
    <w:p w14:paraId="24AFCB6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Приложение заполняется на бумажном носителе, и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строкой;</w:t>
      </w:r>
    </w:p>
    <w:p w14:paraId="071A41D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14) в графе N указывается сумма прочих налоговых вычетов.</w:t>
      </w:r>
    </w:p>
    <w:p w14:paraId="155CF41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2A0D743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15) в графе O указывается сумма индивидуального подоходного налога, исчисленного с начисленных доходов;</w:t>
      </w:r>
    </w:p>
    <w:p w14:paraId="61305BF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16) в графе P указывается сумма задолженности по начисленным, но невыплаченным доходам физических лиц за отчетный период;</w:t>
      </w:r>
    </w:p>
    <w:p w14:paraId="1744E17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17) в графе Q указывается сумма выплаченных физическим лицам доходов;</w:t>
      </w:r>
    </w:p>
    <w:p w14:paraId="488B01D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18) в графе R указывается сумма индивидуального подоходного налога, подлежащего уплате в бюджет;</w:t>
      </w:r>
    </w:p>
    <w:p w14:paraId="17D2DDB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19) в графе S указывается сумма обязательных пенсионных взносов, подлежащих перечислению;</w:t>
      </w:r>
    </w:p>
    <w:p w14:paraId="0F8F8C7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20) в графе T указывается сумма взносов на ОСМС, подлежащих перечислению;</w:t>
      </w:r>
    </w:p>
    <w:p w14:paraId="110BAD4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21) в графе U указывается сумма социальных отчислений, начисленных в соответствии с законодательством Республики Казахстан;</w:t>
      </w:r>
    </w:p>
    <w:p w14:paraId="0803820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22) в графе V указывается сумма обязательных профессиональных пенсионных взносов, подлежащих уплате;</w:t>
      </w:r>
    </w:p>
    <w:p w14:paraId="099FABA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23) в графе W указывается сумма отчислений на обязательное социальное медицинское страхование в соответствии с </w:t>
      </w:r>
      <w:hyperlink r:id="rId46" w:anchor="z4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об обязательном социальном медицинском страховании, подлежащих уплате.</w:t>
      </w:r>
    </w:p>
    <w:p w14:paraId="4D88AAC3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lastRenderedPageBreak/>
        <w:t>Глава 5. Пояснение по заполнению формы 920.03 – Исчисление индивидуального подоходного налога с доходов иностранцев и лиц без гражданства</w:t>
      </w:r>
    </w:p>
    <w:p w14:paraId="0F0BE22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28. Данная форма предназначена для отражения сумм доходов, начисленных налоговым агентом работникам – иностранцам и лицам без гражданства, сумм, исчисленных налоговым агентом сумм ИПН с доходов иностранцев и лиц без гражданства.</w:t>
      </w:r>
    </w:p>
    <w:p w14:paraId="55F0519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Форма составляется по итогам года и представляется вместе с декларацией, а также при представлении декларации с отметкой в ячейке 4 вида декларации "Ликвидационная".</w:t>
      </w:r>
    </w:p>
    <w:p w14:paraId="7F7773C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29. В разделе "Исчисление индивидуального подоходного налога с доходов иностранцев и лиц без гражданства":</w:t>
      </w:r>
    </w:p>
    <w:p w14:paraId="24A2B78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графе А проставляется очередной порядковый номер;</w:t>
      </w:r>
    </w:p>
    <w:p w14:paraId="1166612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графе B указываются фамилия, имя, отчество (при его наличии) иностранцев и лиц без гражданства, которым были начислены, выплачены доходы в отчетном периоде;</w:t>
      </w:r>
    </w:p>
    <w:p w14:paraId="1FAAAD4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графе C указываются ИИН иностранцев и лиц без гражданства;</w:t>
      </w:r>
    </w:p>
    <w:p w14:paraId="71C5490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графе D указывается код страны гражданства иностранцев и лиц без гражданства. Код страны указывается в соответствии с двузначной буквенной кодировкой, установленной в </w:t>
      </w:r>
      <w:hyperlink r:id="rId47" w:anchor="z52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приложении 22</w:t>
        </w:r>
      </w:hyperlink>
      <w:r w:rsidRPr="00830611">
        <w:rPr>
          <w:color w:val="000000"/>
          <w:spacing w:val="2"/>
          <w:sz w:val="28"/>
          <w:szCs w:val="28"/>
        </w:rPr>
        <w:t> "Классификатор стран мира", утвержденном решением Комиссии Таможенного союза от 20 сентября 2010 года № 378 (далее – решение КТС № 378). Например, DE–Федеративная Республика Германия, GB – Соединенное Королевство Великобритании и Северной Ирландии (кроме KZ – Республика Казахстан);</w:t>
      </w:r>
    </w:p>
    <w:p w14:paraId="388FE7D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графе E указывается признак резидентства "1" – резидент, "2" – нерезидент;</w:t>
      </w:r>
    </w:p>
    <w:p w14:paraId="03BDE97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в графе F указывается код страны резидентства иностранцев и лиц без гражданства. Код страны указывается в соответствии с двузначной буквенной кодировкой, установленной в </w:t>
      </w:r>
      <w:hyperlink r:id="rId48" w:anchor="z52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приложении 22</w:t>
        </w:r>
      </w:hyperlink>
      <w:r w:rsidRPr="00830611">
        <w:rPr>
          <w:color w:val="000000"/>
          <w:spacing w:val="2"/>
          <w:sz w:val="28"/>
          <w:szCs w:val="28"/>
        </w:rPr>
        <w:t> "Классификатор стран мира", утвержденном решением КТС № 378. Например, KZ – Республика Казахстан, DE – Федеративная Республика Германия, GB – Соединенное Королевство Великобритании и Северной Ирландии;</w:t>
      </w:r>
    </w:p>
    <w:p w14:paraId="27B2433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7) в графе G указывается номер налоговой регистрации иностранцев и лиц без гражданства в стране резидентства.</w:t>
      </w:r>
    </w:p>
    <w:p w14:paraId="7CC9454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Данная графа заполняется при наличии у иностранцев и лиц без гражданства номера налоговой регистрации;</w:t>
      </w:r>
    </w:p>
    <w:p w14:paraId="5074C79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8) в графе H указываются код вида документа, удостоверяющего личность иностранцев и лиц без гражданства, а также номер и дата выдачи данного документа.</w:t>
      </w:r>
    </w:p>
    <w:p w14:paraId="2B1A725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При заполнении декларации используется следующая кодировка видов документов, удостоверяющих личность иностранцев и лиц без гражданства:</w:t>
      </w:r>
    </w:p>
    <w:p w14:paraId="30A0E55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01 – паспорт иностранного гражданина;</w:t>
      </w:r>
    </w:p>
    <w:p w14:paraId="278C33B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02 – удостоверение личности иностранного гражданина;</w:t>
      </w:r>
    </w:p>
    <w:p w14:paraId="48A8FB4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03 – паспорт моряка;</w:t>
      </w:r>
    </w:p>
    <w:p w14:paraId="15BBA53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04 – вид на жительство;</w:t>
      </w:r>
    </w:p>
    <w:p w14:paraId="5ABCDB3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05 – другие документы;</w:t>
      </w:r>
    </w:p>
    <w:p w14:paraId="1A335A8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9) в графе I указывается код вида дохода, выплачиваемого иностранцу или лицу без гражданства, согласно пункту 30 настоящих Правил;</w:t>
      </w:r>
    </w:p>
    <w:p w14:paraId="3F23A1D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10) в графе J указывается код вида международного договора согласно пункту 31 настоящих Правил, в соответствии с которым в отношении доходов, указанных в графе N, предусмотрен порядок налогообложения, отличный от порядка, установленного Налоговым кодексом.</w:t>
      </w:r>
    </w:p>
    <w:p w14:paraId="5504779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Графа заполняется, если налоговый агент применяет положения межгосударственного или межправительственного договора;</w:t>
      </w:r>
    </w:p>
    <w:p w14:paraId="276BD3F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11) в графе K указывается наименование международного договора, подлежащей заполнению, если налоговый агент указал в графе J код вида международного договора 22 "Иные международные договоры (соглашения, конвенции)".</w:t>
      </w:r>
    </w:p>
    <w:p w14:paraId="6EAE64F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Графа заполняется, если налоговый агент применяет положения межгосударственного или межправительственного договора;</w:t>
      </w:r>
    </w:p>
    <w:p w14:paraId="3365571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12) в графе L указывается код страны, с которой заключен международный договор.</w:t>
      </w:r>
    </w:p>
    <w:p w14:paraId="51C9E52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Код страны указывается в соответствии с двузначной буквенной кодировкой, установленной в решении КТС № 378.</w:t>
      </w:r>
    </w:p>
    <w:p w14:paraId="4968783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Графа заполняется, если налоговый агент применяет положения межгосударственного или межправительственного договора;</w:t>
      </w:r>
    </w:p>
    <w:p w14:paraId="47D96DB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13) в графе M указывается ставка подоходного налога у источника выплаты, установленная международным договором или </w:t>
      </w:r>
      <w:hyperlink r:id="rId49" w:anchor="z646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статьями 646</w:t>
        </w:r>
      </w:hyperlink>
      <w:r w:rsidRPr="00830611">
        <w:rPr>
          <w:color w:val="000000"/>
          <w:spacing w:val="2"/>
          <w:sz w:val="28"/>
          <w:szCs w:val="28"/>
        </w:rPr>
        <w:t> и </w:t>
      </w:r>
      <w:hyperlink r:id="rId50" w:anchor="z320" w:history="1">
        <w:r w:rsidRPr="00830611">
          <w:rPr>
            <w:rStyle w:val="af6"/>
            <w:color w:val="073A5E"/>
            <w:spacing w:val="2"/>
            <w:sz w:val="28"/>
            <w:szCs w:val="28"/>
          </w:rPr>
          <w:t>320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кодекса;</w:t>
      </w:r>
    </w:p>
    <w:p w14:paraId="7B51D53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14) в графе N указываются начисленные доходы иностранцам и лицам без гражданства, в том числе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работодателем в соответствии с законодательством Республики Казахстан по договорам гражданско-правового характера, в том числе доходы, отраженные в </w:t>
      </w:r>
      <w:hyperlink r:id="rId51" w:anchor="z341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статьях 341</w:t>
        </w:r>
      </w:hyperlink>
      <w:r w:rsidRPr="00830611">
        <w:rPr>
          <w:color w:val="000000"/>
          <w:spacing w:val="2"/>
          <w:sz w:val="28"/>
          <w:szCs w:val="28"/>
        </w:rPr>
        <w:t> и </w:t>
      </w:r>
      <w:hyperlink r:id="rId52" w:anchor="z654" w:history="1">
        <w:r w:rsidRPr="00830611">
          <w:rPr>
            <w:rStyle w:val="af6"/>
            <w:color w:val="073A5E"/>
            <w:spacing w:val="2"/>
            <w:sz w:val="28"/>
            <w:szCs w:val="28"/>
          </w:rPr>
          <w:t>654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кодекса;</w:t>
      </w:r>
    </w:p>
    <w:p w14:paraId="0D6EC9B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15) в графе O указываются доходы иностранцев и лиц без гражданства, не подлежащие налогообложению в соответствии </w:t>
      </w:r>
      <w:hyperlink r:id="rId53" w:anchor="z643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341 и </w:t>
      </w:r>
      <w:hyperlink r:id="rId54" w:anchor="z654" w:history="1">
        <w:r w:rsidRPr="00830611">
          <w:rPr>
            <w:rStyle w:val="af6"/>
            <w:color w:val="073A5E"/>
            <w:spacing w:val="2"/>
            <w:sz w:val="28"/>
            <w:szCs w:val="28"/>
          </w:rPr>
          <w:t>654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кодекса.</w:t>
      </w:r>
    </w:p>
    <w:p w14:paraId="6E3C9C9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Приложение заполняется на бумажном носителе, и если к доходу физического лица применено несколько видов корректировки доходов, каждый вид корректировки подлежит заполнению отдельной строкой;</w:t>
      </w:r>
    </w:p>
    <w:p w14:paraId="2650080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16) в графе P указывается сумма доходов, не подлежащих налогообложению, в соответствии с </w:t>
      </w:r>
      <w:hyperlink r:id="rId55" w:anchor="z643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341 Налогового кодекса.</w:t>
      </w:r>
    </w:p>
    <w:p w14:paraId="6751A16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иностранца 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41A8EB1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17) в графе Q указывается сумма доходов, не подлежащих налогообложению, в соответствии со </w:t>
      </w:r>
      <w:hyperlink r:id="rId56" w:anchor="z65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статьи 654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кодекса.</w:t>
      </w:r>
    </w:p>
    <w:p w14:paraId="084FBDE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иностранца 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76360E8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18) в графе R указываются суммы обязательных пенсионных взносов, исчисленные с начисленных доходов иностранцев и лиц без гражданства, в </w:t>
      </w:r>
      <w:r w:rsidRPr="00830611">
        <w:rPr>
          <w:color w:val="000000"/>
          <w:spacing w:val="2"/>
          <w:sz w:val="28"/>
          <w:szCs w:val="28"/>
        </w:rPr>
        <w:lastRenderedPageBreak/>
        <w:t>соответствии с Законом о пенсионном обеспечении и относимые на вычеты в соответствии с </w:t>
      </w:r>
      <w:hyperlink r:id="rId57" w:anchor="z13875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1)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342 Налогового кодекса;</w:t>
      </w:r>
    </w:p>
    <w:p w14:paraId="12D749C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19) в графе S указывается сумма взносов на обязательное социальное медицинское страхование, исчисленных с начисленных доходов;</w:t>
      </w:r>
    </w:p>
    <w:p w14:paraId="6836F65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20) в графе T указываются стандартные налоговые вычеты:</w:t>
      </w:r>
    </w:p>
    <w:p w14:paraId="1F9562A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 – один минимальный размер заработной платы, установленный Законом о республиканском бюджете в соответствии с </w:t>
      </w:r>
      <w:hyperlink r:id="rId58" w:anchor="z2426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1)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346 Налогового кодекса;</w:t>
      </w:r>
    </w:p>
    <w:p w14:paraId="40F5EAC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882-кратный размер месячного расчетного показателя за календарный год в соответствии с </w:t>
      </w:r>
      <w:hyperlink r:id="rId59" w:anchor="z920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2)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346 Налогового кодекса;</w:t>
      </w:r>
    </w:p>
    <w:p w14:paraId="353D56F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 – 882-кратный размер месячного расчетного показателя за календарный год в соответствии с </w:t>
      </w:r>
      <w:hyperlink r:id="rId60" w:anchor="z927" w:history="1">
        <w:r w:rsidRPr="00830611">
          <w:rPr>
            <w:rStyle w:val="af6"/>
            <w:color w:val="073A5E"/>
            <w:spacing w:val="2"/>
            <w:sz w:val="28"/>
            <w:szCs w:val="28"/>
          </w:rPr>
          <w:t>подпунктом 3)</w:t>
        </w:r>
      </w:hyperlink>
      <w:r w:rsidRPr="00830611">
        <w:rPr>
          <w:color w:val="000000"/>
          <w:spacing w:val="2"/>
          <w:sz w:val="28"/>
          <w:szCs w:val="28"/>
        </w:rPr>
        <w:t> пункта 1 статьи 346 Налогового кодекса.</w:t>
      </w:r>
    </w:p>
    <w:p w14:paraId="0D3D5CA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Приложение заполняется на бумажном носителе, и если к доходу иностранца 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06184B3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21) в графе U указывается сумма стандартных налоговых вычетов.</w:t>
      </w:r>
    </w:p>
    <w:p w14:paraId="6D0B0B1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5BB590C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22) в графе V указываются прочие налоговые вычеты:</w:t>
      </w:r>
    </w:p>
    <w:p w14:paraId="5F80F6B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 – налоговый вычет по добровольным пенсионным взносам;</w:t>
      </w:r>
    </w:p>
    <w:p w14:paraId="7184C58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налоговый вычет на медицину;</w:t>
      </w:r>
    </w:p>
    <w:p w14:paraId="0D9BCFF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 – налоговый вычет по вознаграждениям.</w:t>
      </w:r>
    </w:p>
    <w:p w14:paraId="2D855E6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Если Приложение заполняется на бумажном носителе, и если к доходу иностранца и лица без гражданства применено несколько видов прочих налоговых вычетов, каждый вид налогового вычета подлежит заполнению отдельной строкой;</w:t>
      </w:r>
    </w:p>
    <w:p w14:paraId="7082F63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23) в графе W указывается сумму прочих налоговых вычетов.</w:t>
      </w:r>
    </w:p>
    <w:p w14:paraId="6B2DB98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 xml:space="preserve">      Если Приложение заполняется на бумажном носителе,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54329C5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24) в графе Х указываются суммы ИПН, исчисленного с доходов иностранцев и лиц без гражданства за отчетный период;</w:t>
      </w:r>
    </w:p>
    <w:p w14:paraId="34A4E05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25) в графе Y указывается сумма задолженности по начисленным, но невыплаченным доходам физических лиц за отчетный период;</w:t>
      </w:r>
    </w:p>
    <w:p w14:paraId="34404E6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26) в графе Z указывается сумма выплаченных иностранцам и лицам без гражданства доходов;</w:t>
      </w:r>
    </w:p>
    <w:p w14:paraId="220D114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27) в графе AA указывается сумма индивидуального подоходного налога, подлежащего уплате в бюджет;</w:t>
      </w:r>
    </w:p>
    <w:p w14:paraId="6A5D73D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28) в графе AB указывается сумма обязательных пенсионных взносов, подлежащих перечислению;</w:t>
      </w:r>
    </w:p>
    <w:p w14:paraId="1E30DF4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29) в графе AC указывается сумма взносов на ОСМС, подлежащих перечислению;</w:t>
      </w:r>
    </w:p>
    <w:p w14:paraId="53F2BC8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30) в графе AD указываются суммы социальных отчислений, исчисленных в соответствии с </w:t>
      </w:r>
      <w:hyperlink r:id="rId61" w:anchor="z8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об обязательном социальном страховании;</w:t>
      </w:r>
    </w:p>
    <w:p w14:paraId="2236513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31) в графе AE указывается сумма обязательных профессиональных пенсионных взносов, подлежащих уплате;</w:t>
      </w:r>
    </w:p>
    <w:p w14:paraId="18D5A4B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32) в графе AF указывается сумма отчислений на обязательное социальное медицинское страхование в соответствии с </w:t>
      </w:r>
      <w:hyperlink r:id="rId62" w:anchor="z4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об обязательном социальном медицинском страховании, подлежащих уплате.</w:t>
      </w:r>
    </w:p>
    <w:p w14:paraId="571CA0C6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6. Коды видов доходов, стран и международных договоров</w:t>
      </w:r>
    </w:p>
    <w:p w14:paraId="0050B0C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30. При заполнении декларации используется следующая кодировка видов доходов из источников в Республике Казахстан:</w:t>
      </w:r>
    </w:p>
    <w:p w14:paraId="329AD53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пределами в рамках осуществления внешнеторговой деятельности;</w:t>
      </w:r>
    </w:p>
    <w:p w14:paraId="78F2F37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1020 – доход от выполнения работ, оказания услуг на территории Республики Казахстан;</w:t>
      </w:r>
    </w:p>
    <w:p w14:paraId="1B737CA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38817A0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1040 – доходы лица, зарегистрированного в государстве с льготным налогообложением, включенным в перечень государств с льготным налогообложением, утвержденный </w:t>
      </w:r>
      <w:hyperlink r:id="rId63" w:anchor="z4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приказом</w:t>
        </w:r>
      </w:hyperlink>
      <w:r w:rsidRPr="00830611">
        <w:rPr>
          <w:color w:val="000000"/>
          <w:spacing w:val="2"/>
          <w:sz w:val="28"/>
          <w:szCs w:val="28"/>
        </w:rPr>
        <w:t> Министра финансов Республики Казахстан от 8 февраля 2018 года № 142 "Об утверждении перечня государств с льготным налогообложением" (зарегистрирован в Реестре государственной регистрации нормативных правовых актов под № 16404), от выполнения работ, оказания услуг независимо от места их фактического выполнения, оказания, а также иные доходы, установленные </w:t>
      </w:r>
      <w:hyperlink r:id="rId64" w:anchor="z644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статьей 644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кодекса;</w:t>
      </w:r>
    </w:p>
    <w:p w14:paraId="5A32CE8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6A29300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не удовлетворенных нерезидентом по истечении двухлетнего периода со дня выплаты аванса (предоплаты);</w:t>
      </w:r>
    </w:p>
    <w:p w14:paraId="4923B45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79C9370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1060 – доход от прироста стоимости при реализации:</w:t>
      </w:r>
    </w:p>
    <w:p w14:paraId="3750085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 </w:t>
      </w:r>
      <w:hyperlink r:id="rId65" w:anchor="z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Республики Казахстан "О государственной регистрации прав на недвижимое имущество" (далее – Закон о государственной регистрации);</w:t>
      </w:r>
    </w:p>
    <w:p w14:paraId="145BD51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находящегося на территории Республики Казахстан имущества, подлежащего государственной регистрации в соответствии с </w:t>
      </w:r>
      <w:hyperlink r:id="rId66" w:anchor="z2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о государственной регистрации;</w:t>
      </w:r>
    </w:p>
    <w:p w14:paraId="220A4F5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00916AE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65BE2A2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– для нерезидента, уступившего право требования;</w:t>
      </w:r>
    </w:p>
    <w:p w14:paraId="4B631F8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 – для нерезидента, приобретающего право требования;</w:t>
      </w:r>
    </w:p>
    <w:p w14:paraId="34BCBCA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479D56B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1100 – доход в виде дивидендов, получаемый от юридического лица-резидента, а также от паевых инвестиционных фондов, созданных в соответствии с </w:t>
      </w:r>
      <w:hyperlink r:id="rId67" w:anchor="z171" w:history="1">
        <w:r w:rsidRPr="00830611">
          <w:rPr>
            <w:rStyle w:val="af6"/>
            <w:color w:val="073A5E"/>
            <w:spacing w:val="2"/>
            <w:sz w:val="28"/>
            <w:szCs w:val="28"/>
          </w:rPr>
          <w:t>Законом</w:t>
        </w:r>
      </w:hyperlink>
      <w:r w:rsidRPr="00830611">
        <w:rPr>
          <w:color w:val="000000"/>
          <w:spacing w:val="2"/>
          <w:sz w:val="28"/>
          <w:szCs w:val="28"/>
        </w:rPr>
        <w:t> Республики Казахстан "Об инвестиционных и венчурных фондах";</w:t>
      </w:r>
    </w:p>
    <w:p w14:paraId="7A1559D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1110 – доходы в виде вознаграждений, за исключением вознаграждений по долговым ценным бумагам;</w:t>
      </w:r>
    </w:p>
    <w:p w14:paraId="20255EE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1120 – доходы в виде вознаграждений по долговым ценным бумагам, получаемые от эмитента;</w:t>
      </w:r>
    </w:p>
    <w:p w14:paraId="54B5D7A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1130 – доходы в форме роялти;</w:t>
      </w:r>
    </w:p>
    <w:p w14:paraId="5F1EC31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3A2EFD4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1150 – доход, получаемый от недвижимого имущества, находящегося в Республике Казахстан;</w:t>
      </w:r>
    </w:p>
    <w:p w14:paraId="37B7884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1160 – доход в виде страховых премий, выплачиваемых по договорам страхования или перестрахования рисков, возникающих в Республике Казахстан;</w:t>
      </w:r>
    </w:p>
    <w:p w14:paraId="16F3CC7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1170 – доход от оказания услуг по международной перевозке;</w:t>
      </w:r>
    </w:p>
    <w:p w14:paraId="21F774F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1180 – доход в виде платежа за простой судна при погрузочно-разгрузочными операциях </w:t>
      </w:r>
      <w:proofErr w:type="spellStart"/>
      <w:r w:rsidRPr="00830611">
        <w:rPr>
          <w:color w:val="000000"/>
          <w:spacing w:val="2"/>
          <w:sz w:val="28"/>
          <w:szCs w:val="28"/>
        </w:rPr>
        <w:t>сверхсталийного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времени, предусмотренного в договоре (контракте) морской перевозки;</w:t>
      </w:r>
    </w:p>
    <w:p w14:paraId="2D4F77C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1190 –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5CB403A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00FC49F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1210 – доход трудового иммигранта-нерезидента по трудовому договору, заключенному в соответствии с </w:t>
      </w:r>
      <w:hyperlink r:id="rId68" w:anchor="z205" w:history="1">
        <w:r w:rsidRPr="00830611">
          <w:rPr>
            <w:rStyle w:val="af6"/>
            <w:color w:val="073A5E"/>
            <w:spacing w:val="2"/>
            <w:sz w:val="28"/>
            <w:szCs w:val="28"/>
          </w:rPr>
          <w:t>Трудовым</w:t>
        </w:r>
      </w:hyperlink>
      <w:r w:rsidRPr="00830611">
        <w:rPr>
          <w:color w:val="000000"/>
          <w:spacing w:val="2"/>
          <w:sz w:val="28"/>
          <w:szCs w:val="28"/>
        </w:rPr>
        <w:t> кодексом Республики Казахстан на основании разрешения трудовому иммигранту;</w:t>
      </w:r>
    </w:p>
    <w:p w14:paraId="69AEB36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1220 – 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6E25E12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3E3C16F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224B0F8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1250 – доход физического лица-нерезидента в виде материальной выгоды, полученной от лица, не являющегося работодателем;</w:t>
      </w:r>
    </w:p>
    <w:p w14:paraId="349F6E2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1260 – пенсионные выплаты, осуществляемые накопительным пенсионным фондом-резидентом;</w:t>
      </w:r>
    </w:p>
    <w:p w14:paraId="6352C72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1270 – доход артиста театра, кино, радио, телевидения, музыканта, художника, спортсмена и иного физического лица-нерезидента от </w:t>
      </w:r>
      <w:r w:rsidRPr="00830611">
        <w:rPr>
          <w:color w:val="000000"/>
          <w:spacing w:val="2"/>
          <w:sz w:val="28"/>
          <w:szCs w:val="28"/>
        </w:rPr>
        <w:lastRenderedPageBreak/>
        <w:t>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79AE36D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1280 – доход в виде выигрыша;</w:t>
      </w:r>
    </w:p>
    <w:p w14:paraId="2B79FD7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1290 – доход, от оказания независимых личных (профессиональных) услуг в Республике Казахстан;</w:t>
      </w:r>
    </w:p>
    <w:p w14:paraId="01FD9CB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7971F43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1310 – доходы по производным финансовым инструментам;</w:t>
      </w:r>
    </w:p>
    <w:p w14:paraId="23B1E23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1320 – доход от передачи в доверительное управление имущества резиденту, на которого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7A40C78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1330 – доход по инвестиционному депозиту, размещенному в исламском банке;</w:t>
      </w:r>
    </w:p>
    <w:p w14:paraId="2233549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1340 – другие доходы, возникающие от деятельности на территории Республики Казахстан;</w:t>
      </w:r>
    </w:p>
    <w:p w14:paraId="2640264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0001 – Княжество </w:t>
      </w:r>
      <w:proofErr w:type="spellStart"/>
      <w:r w:rsidRPr="00830611">
        <w:rPr>
          <w:color w:val="000000"/>
          <w:spacing w:val="2"/>
          <w:sz w:val="28"/>
          <w:szCs w:val="28"/>
        </w:rPr>
        <w:t>Андора</w:t>
      </w:r>
      <w:proofErr w:type="spellEnd"/>
      <w:r w:rsidRPr="00830611">
        <w:rPr>
          <w:color w:val="000000"/>
          <w:spacing w:val="2"/>
          <w:sz w:val="28"/>
          <w:szCs w:val="28"/>
        </w:rPr>
        <w:t>;</w:t>
      </w:r>
    </w:p>
    <w:p w14:paraId="060A39D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0002 – Антигуа и Барбуда;</w:t>
      </w:r>
    </w:p>
    <w:p w14:paraId="51595C6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0003 – Содружество Багамских островов;</w:t>
      </w:r>
    </w:p>
    <w:p w14:paraId="6C3A7B7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0004 – Барбадос;</w:t>
      </w:r>
    </w:p>
    <w:p w14:paraId="1AA03A5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0005 – Королевство Бахрейн;</w:t>
      </w:r>
    </w:p>
    <w:p w14:paraId="0FEBAE1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0006 – Белиз;</w:t>
      </w:r>
    </w:p>
    <w:p w14:paraId="5F81A96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0007 – Султанат Бруней </w:t>
      </w:r>
      <w:proofErr w:type="spellStart"/>
      <w:r w:rsidRPr="00830611">
        <w:rPr>
          <w:color w:val="000000"/>
          <w:spacing w:val="2"/>
          <w:sz w:val="28"/>
          <w:szCs w:val="28"/>
        </w:rPr>
        <w:t>Даруссалам</w:t>
      </w:r>
      <w:proofErr w:type="spellEnd"/>
      <w:r w:rsidRPr="00830611">
        <w:rPr>
          <w:color w:val="000000"/>
          <w:spacing w:val="2"/>
          <w:sz w:val="28"/>
          <w:szCs w:val="28"/>
        </w:rPr>
        <w:t>;</w:t>
      </w:r>
    </w:p>
    <w:p w14:paraId="0C4D9FF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0008 – Республика Вануату;</w:t>
      </w:r>
    </w:p>
    <w:p w14:paraId="18FF0A7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0009 – Кооперативная Республика Гайана;</w:t>
      </w:r>
    </w:p>
    <w:p w14:paraId="0B407BF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0010 – Республика Гватемала;</w:t>
      </w:r>
    </w:p>
    <w:p w14:paraId="43E0E10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0011 – Гренада;</w:t>
      </w:r>
    </w:p>
    <w:p w14:paraId="25251CF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0012 – Республика Джибути;</w:t>
      </w:r>
    </w:p>
    <w:p w14:paraId="1BD4E04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0013 – Доминиканская Республика;</w:t>
      </w:r>
    </w:p>
    <w:p w14:paraId="50AD1EF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0014 – Содружество Доминики;</w:t>
      </w:r>
    </w:p>
    <w:p w14:paraId="1C89F0C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0015 – Королевство Испания (только в части территории Канарских островов);</w:t>
      </w:r>
    </w:p>
    <w:p w14:paraId="72E5DBB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0016 – Китайская Народная Республика (только в части территорий специальных административных районов Аомынь (Макао) и Сянган (Гонконг));</w:t>
      </w:r>
    </w:p>
    <w:p w14:paraId="772B509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0017 – Республика Колумбия;</w:t>
      </w:r>
    </w:p>
    <w:p w14:paraId="53BF07B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0018 – Федеративная Исламская Республика Коморские острова;</w:t>
      </w:r>
    </w:p>
    <w:p w14:paraId="6298027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0019 – Республика Коста-Рика;</w:t>
      </w:r>
    </w:p>
    <w:p w14:paraId="7CA3B39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0020 – Малайзия (только в части территории анклава </w:t>
      </w:r>
      <w:proofErr w:type="spellStart"/>
      <w:r w:rsidRPr="00830611">
        <w:rPr>
          <w:color w:val="000000"/>
          <w:spacing w:val="2"/>
          <w:sz w:val="28"/>
          <w:szCs w:val="28"/>
        </w:rPr>
        <w:t>Лабуан</w:t>
      </w:r>
      <w:proofErr w:type="spellEnd"/>
      <w:r w:rsidRPr="00830611">
        <w:rPr>
          <w:color w:val="000000"/>
          <w:spacing w:val="2"/>
          <w:sz w:val="28"/>
          <w:szCs w:val="28"/>
        </w:rPr>
        <w:t>);</w:t>
      </w:r>
    </w:p>
    <w:p w14:paraId="2F2EC88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0021 – Республика Либерия;</w:t>
      </w:r>
    </w:p>
    <w:p w14:paraId="30CFE74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0022 – Ливанская Республика;</w:t>
      </w:r>
    </w:p>
    <w:p w14:paraId="32E8F29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0023 – Княжество Лихтенштейн;</w:t>
      </w:r>
    </w:p>
    <w:p w14:paraId="2DAED27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0024 – Республика Маврикий;</w:t>
      </w:r>
    </w:p>
    <w:p w14:paraId="26CBCEC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0025 – Исламская Республика Мавритания;</w:t>
      </w:r>
    </w:p>
    <w:p w14:paraId="73C89C0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0026 – Португальская Республика (только в части территории Мадейра);</w:t>
      </w:r>
    </w:p>
    <w:p w14:paraId="7217B74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0027 – Мальдивская Республика;</w:t>
      </w:r>
    </w:p>
    <w:p w14:paraId="12DEF1B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0028 – Республика Маршалловы острова;</w:t>
      </w:r>
    </w:p>
    <w:p w14:paraId="0DECBC8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0029 – Княжество Монако;</w:t>
      </w:r>
    </w:p>
    <w:p w14:paraId="4E08300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0030 – Мальта;</w:t>
      </w:r>
    </w:p>
    <w:p w14:paraId="2B263E0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0031 – Марианские острова;</w:t>
      </w:r>
    </w:p>
    <w:p w14:paraId="7525633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0032 – Королевство Марокко (только в части территории города Танжер);</w:t>
      </w:r>
    </w:p>
    <w:p w14:paraId="365BE6F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0033 – Республика Союз Мьянма;</w:t>
      </w:r>
    </w:p>
    <w:p w14:paraId="7EB824D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0034 – Республика Науру;</w:t>
      </w:r>
    </w:p>
    <w:p w14:paraId="796A0BC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0035 – Королевство Нидерланды (только в части территории острова Аруба и зависимых территорий Антильских островов);</w:t>
      </w:r>
    </w:p>
    <w:p w14:paraId="745353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0036 – Федеративная Республика Нигерия;</w:t>
      </w:r>
    </w:p>
    <w:p w14:paraId="3BC565D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0037 – Новая Зеландия (только в части территории островов Кука и Ниуэ);</w:t>
      </w:r>
    </w:p>
    <w:p w14:paraId="1EE1664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0038 – Республика Палау;</w:t>
      </w:r>
    </w:p>
    <w:p w14:paraId="481DF5A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0039 – Республика Панама;</w:t>
      </w:r>
    </w:p>
    <w:p w14:paraId="4066008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0040 – Независимое Государство Самоа;</w:t>
      </w:r>
    </w:p>
    <w:p w14:paraId="242F145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0041 – Республика Сан-Марино;</w:t>
      </w:r>
    </w:p>
    <w:p w14:paraId="3D2CD4A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0042 – Республика Сейшельские острова;</w:t>
      </w:r>
    </w:p>
    <w:p w14:paraId="7BE7E71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0043 – Сент-Винсент и Гренадины;</w:t>
      </w:r>
    </w:p>
    <w:p w14:paraId="0A99029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0044 – Федерация Сент-Китс и Невис;</w:t>
      </w:r>
    </w:p>
    <w:p w14:paraId="2B0565B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0045 – Сент-Люсия;</w:t>
      </w:r>
    </w:p>
    <w:p w14:paraId="091B4DC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0046 – Соединенное Королевство Великобритании и Северной Ирландии (только в части следующих территорий остров Ангилья, Бермудские острова, Британские Виргинские острова, Гибралтар, Каймановы острова, остров Монтсеррат, острова Терке и </w:t>
      </w:r>
      <w:proofErr w:type="spellStart"/>
      <w:r w:rsidRPr="00830611">
        <w:rPr>
          <w:color w:val="000000"/>
          <w:spacing w:val="2"/>
          <w:sz w:val="28"/>
          <w:szCs w:val="28"/>
        </w:rPr>
        <w:t>Кайкос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, остров Мэн, Нормандские острова </w:t>
      </w:r>
      <w:r w:rsidRPr="00830611">
        <w:rPr>
          <w:color w:val="000000"/>
          <w:spacing w:val="2"/>
          <w:sz w:val="28"/>
          <w:szCs w:val="28"/>
        </w:rPr>
        <w:lastRenderedPageBreak/>
        <w:t xml:space="preserve">(острова Гернси, Джерси, Сарк, </w:t>
      </w:r>
      <w:proofErr w:type="spellStart"/>
      <w:r w:rsidRPr="00830611">
        <w:rPr>
          <w:color w:val="000000"/>
          <w:spacing w:val="2"/>
          <w:sz w:val="28"/>
          <w:szCs w:val="28"/>
        </w:rPr>
        <w:t>Олдерни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), остров Южная Георгия, Южные </w:t>
      </w:r>
      <w:proofErr w:type="spellStart"/>
      <w:r w:rsidRPr="00830611">
        <w:rPr>
          <w:color w:val="000000"/>
          <w:spacing w:val="2"/>
          <w:sz w:val="28"/>
          <w:szCs w:val="28"/>
        </w:rPr>
        <w:t>Сэндвичевы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острова, остров </w:t>
      </w:r>
      <w:proofErr w:type="spellStart"/>
      <w:r w:rsidRPr="00830611">
        <w:rPr>
          <w:color w:val="000000"/>
          <w:spacing w:val="2"/>
          <w:sz w:val="28"/>
          <w:szCs w:val="28"/>
        </w:rPr>
        <w:t>Чагос</w:t>
      </w:r>
      <w:proofErr w:type="spellEnd"/>
      <w:r w:rsidRPr="00830611">
        <w:rPr>
          <w:color w:val="000000"/>
          <w:spacing w:val="2"/>
          <w:sz w:val="28"/>
          <w:szCs w:val="28"/>
        </w:rPr>
        <w:t>);</w:t>
      </w:r>
    </w:p>
    <w:p w14:paraId="7782DB1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0047 – Соединенные Штаты Америки (только в части американские Виргинские острова, остров Гуам, содружество Пуэрто-Рико, штат Вайоминг, штат Делавэр);</w:t>
      </w:r>
    </w:p>
    <w:p w14:paraId="721D37A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0048 – Республика Суринам;</w:t>
      </w:r>
    </w:p>
    <w:p w14:paraId="65EE257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0049 – Объединенная Республика Танзания;</w:t>
      </w:r>
    </w:p>
    <w:p w14:paraId="7C21226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0050 – Королевство Тонга;</w:t>
      </w:r>
    </w:p>
    <w:p w14:paraId="1E32664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0051 – Республика Тринидад и Тобаго;</w:t>
      </w:r>
    </w:p>
    <w:p w14:paraId="0E8B3C2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0052 – Суверенная Демократическая Республика Фиджи;</w:t>
      </w:r>
    </w:p>
    <w:p w14:paraId="0E8FE6D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0053 – Республика Филиппины;</w:t>
      </w:r>
    </w:p>
    <w:p w14:paraId="41974F7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0054 – Французская Республика (только в части остров </w:t>
      </w:r>
      <w:proofErr w:type="spellStart"/>
      <w:r w:rsidRPr="00830611">
        <w:rPr>
          <w:color w:val="000000"/>
          <w:spacing w:val="2"/>
          <w:sz w:val="28"/>
          <w:szCs w:val="28"/>
        </w:rPr>
        <w:t>Кергелен</w:t>
      </w:r>
      <w:proofErr w:type="spellEnd"/>
      <w:r w:rsidRPr="00830611">
        <w:rPr>
          <w:color w:val="000000"/>
          <w:spacing w:val="2"/>
          <w:sz w:val="28"/>
          <w:szCs w:val="28"/>
        </w:rPr>
        <w:t>, Французская Полинезия, Французская Гвиана);</w:t>
      </w:r>
    </w:p>
    <w:p w14:paraId="64D0A37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0055 – Черногория;</w:t>
      </w:r>
    </w:p>
    <w:p w14:paraId="331C8D4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0056 – Демократическая Республика Шри-Ланка;</w:t>
      </w:r>
    </w:p>
    <w:p w14:paraId="6965F18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0057 – Ямайка.</w:t>
      </w:r>
    </w:p>
    <w:p w14:paraId="06F0B6F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31. При заполнении декларации используется следующая кодировка видов международных договоров (соглашений):</w:t>
      </w:r>
    </w:p>
    <w:p w14:paraId="5BA80E8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01 – Конвенция об </w:t>
      </w:r>
      <w:proofErr w:type="spellStart"/>
      <w:r w:rsidRPr="00830611">
        <w:rPr>
          <w:color w:val="000000"/>
          <w:spacing w:val="2"/>
          <w:sz w:val="28"/>
          <w:szCs w:val="28"/>
        </w:rPr>
        <w:t>избежании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двойного налогообложения и предотвращении уклонения от уплаты налогов на доход и капитал;</w:t>
      </w:r>
    </w:p>
    <w:p w14:paraId="594220F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02 – Учредительный договор Исламского Банка Развития;</w:t>
      </w:r>
    </w:p>
    <w:p w14:paraId="58F882D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03 – Соглашение об условиях работы регионального экологического центра Центральной Азии;</w:t>
      </w:r>
    </w:p>
    <w:p w14:paraId="50C078C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04 – Учредительный договор Азиатского банка развития;</w:t>
      </w:r>
    </w:p>
    <w:p w14:paraId="02E5474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05 – Соглашение по использованию гранта на проект строительства нового правительственного здания;</w:t>
      </w:r>
    </w:p>
    <w:p w14:paraId="30EB328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06 – Соглашение о финансовом сотрудничестве;</w:t>
      </w:r>
    </w:p>
    <w:p w14:paraId="49FD209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07 – Меморандум о взаимопонимании;</w:t>
      </w:r>
    </w:p>
    <w:p w14:paraId="0ED7DAE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09F6BE6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09 – Соглашение Международного банка реконструкции и развития;</w:t>
      </w:r>
    </w:p>
    <w:p w14:paraId="59F2EBA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10 – Соглашение Международного валютного фонда;</w:t>
      </w:r>
    </w:p>
    <w:p w14:paraId="5748348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11 – Соглашение Международной финансовой корпорации;</w:t>
      </w:r>
    </w:p>
    <w:p w14:paraId="0813C90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12 – Конвенция об урегулировании инвестиционных споров;</w:t>
      </w:r>
    </w:p>
    <w:p w14:paraId="7A12FA6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13 – Соглашение об учреждении Европейского банка реконструкции и развития;</w:t>
      </w:r>
    </w:p>
    <w:p w14:paraId="451D802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14 – Венская конвенция о дипломатических сношениях;</w:t>
      </w:r>
    </w:p>
    <w:p w14:paraId="17CB769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15 – Договор по созданию Университета Центральной Азии;</w:t>
      </w:r>
    </w:p>
    <w:p w14:paraId="7391982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16 – Конвенция об учреждении Многостороннего агентства по гарантиям инвестиций;</w:t>
      </w:r>
    </w:p>
    <w:p w14:paraId="338728C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17 – Соглашение о Египетском университете исламской культуры "</w:t>
      </w:r>
      <w:proofErr w:type="spellStart"/>
      <w:r w:rsidRPr="00830611">
        <w:rPr>
          <w:color w:val="000000"/>
          <w:spacing w:val="2"/>
          <w:sz w:val="28"/>
          <w:szCs w:val="28"/>
        </w:rPr>
        <w:t>Нур</w:t>
      </w:r>
      <w:proofErr w:type="spellEnd"/>
      <w:r w:rsidRPr="00830611">
        <w:rPr>
          <w:color w:val="000000"/>
          <w:spacing w:val="2"/>
          <w:sz w:val="28"/>
          <w:szCs w:val="28"/>
        </w:rPr>
        <w:t>-Мубарак";</w:t>
      </w:r>
    </w:p>
    <w:p w14:paraId="6334F41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18 – Соглашение о воздушном сообщении;</w:t>
      </w:r>
    </w:p>
    <w:p w14:paraId="018542B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19 – Соглашение о предоставлении Международным Банком Реконструкции и Развития гранта Республике Казахстан на подготовку проекта "Поддержка </w:t>
      </w:r>
      <w:proofErr w:type="spellStart"/>
      <w:r w:rsidRPr="00830611">
        <w:rPr>
          <w:color w:val="000000"/>
          <w:spacing w:val="2"/>
          <w:sz w:val="28"/>
          <w:szCs w:val="28"/>
        </w:rPr>
        <w:t>агросервисных</w:t>
      </w:r>
      <w:proofErr w:type="spellEnd"/>
      <w:r w:rsidRPr="00830611">
        <w:rPr>
          <w:color w:val="000000"/>
          <w:spacing w:val="2"/>
          <w:sz w:val="28"/>
          <w:szCs w:val="28"/>
        </w:rPr>
        <w:t xml:space="preserve"> служб";</w:t>
      </w:r>
    </w:p>
    <w:p w14:paraId="705C517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20 – Соглашение в форме обмена нотами о привлечении гранта Правительства Японии для осуществления проекта "Водоснабжение сельских населенных пунктов в Республике Казахстан";</w:t>
      </w:r>
    </w:p>
    <w:p w14:paraId="20AD77C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21 – Конвенция о привилегиях и иммунитетах Евразийского экономического сообщества;</w:t>
      </w:r>
    </w:p>
    <w:p w14:paraId="39D7F75D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22 – Соглашение Азиатского банка инфраструктурных инвестиций;</w:t>
      </w:r>
    </w:p>
    <w:p w14:paraId="2D3972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23 – Иные международные договоры (соглашения, конвенции).</w:t>
      </w:r>
    </w:p>
    <w:p w14:paraId="0FF87E73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7. Пояснение по заполнению формы 920.04 – Сведения по льготам</w:t>
      </w:r>
    </w:p>
    <w:p w14:paraId="4B17C66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32. В разделе "Сведения о транспортных средствах, не подлежащих обложению налогом на транспортные средства", указываются сведения по транспортным средствам, по которым в соответствии с </w:t>
      </w:r>
      <w:hyperlink r:id="rId69" w:anchor="z12664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транспортные средства:</w:t>
      </w:r>
    </w:p>
    <w:p w14:paraId="6A2392A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графе А строки указывается порядковый номер строки;</w:t>
      </w:r>
    </w:p>
    <w:p w14:paraId="71BE92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графе B строки указывается наименование транспортных средств (марка, модель);</w:t>
      </w:r>
    </w:p>
    <w:p w14:paraId="37154C4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графе C строки указывается год выпуска транспортных средств;</w:t>
      </w:r>
    </w:p>
    <w:p w14:paraId="471D175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графе D строки указывается грузоподъемность транспортных средств;</w:t>
      </w:r>
    </w:p>
    <w:p w14:paraId="421537A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графе E строки указывается объем двигателя транспортных средств;</w:t>
      </w:r>
    </w:p>
    <w:p w14:paraId="4303D8DB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6) в графе F строки указывается сумма налога на транспортные средства, подлежащая освобождению.</w:t>
      </w:r>
    </w:p>
    <w:p w14:paraId="05A31A5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33. В разделе "Сведения об имуществе, не подлежащем обложению налогом на имущество" указываются сведения об имуществе, по которым в соответствии с </w:t>
      </w:r>
      <w:hyperlink r:id="rId70" w:anchor="z12664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имущество:</w:t>
      </w:r>
    </w:p>
    <w:p w14:paraId="5D36016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графе А строки указывается порядковый номер строки;</w:t>
      </w:r>
    </w:p>
    <w:p w14:paraId="7BDF993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графе B строки указывается наименование объекта;</w:t>
      </w:r>
    </w:p>
    <w:p w14:paraId="4C04B40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графе C строки указывается кадастровый номер имущества;</w:t>
      </w:r>
    </w:p>
    <w:p w14:paraId="6B7C736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4) в графе D строки указывается стоимость налогооблагаемого объекта;</w:t>
      </w:r>
    </w:p>
    <w:p w14:paraId="2063E2A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графе E строки указывается сумма налога на имущество, подлежащая освобождению.</w:t>
      </w:r>
    </w:p>
    <w:p w14:paraId="32F9F48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34. В разделе "Сведения о земельном участке, не подлежащем обложению земельным налогом и (или) платой за пользование земельными участками", указываются сведения по земельным участкам, по которым в соответствии с </w:t>
      </w:r>
      <w:hyperlink r:id="rId71" w:anchor="z12664" w:history="1">
        <w:r w:rsidRPr="00830611">
          <w:rPr>
            <w:rStyle w:val="af6"/>
            <w:color w:val="073A5E"/>
            <w:spacing w:val="2"/>
            <w:sz w:val="28"/>
            <w:szCs w:val="28"/>
          </w:rPr>
          <w:t>пунктом 1</w:t>
        </w:r>
      </w:hyperlink>
      <w:r w:rsidRPr="00830611">
        <w:rPr>
          <w:color w:val="000000"/>
          <w:spacing w:val="2"/>
          <w:sz w:val="28"/>
          <w:szCs w:val="28"/>
        </w:rPr>
        <w:t> 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земельного налога и (или) платы за пользование земельными участками:</w:t>
      </w:r>
    </w:p>
    <w:p w14:paraId="3A27E30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графе А строки указывается порядковый номер строки;</w:t>
      </w:r>
    </w:p>
    <w:p w14:paraId="273D253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графе B строки указывается общая площадь земельного участка в гектарах;</w:t>
      </w:r>
    </w:p>
    <w:p w14:paraId="6FC86B4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графе C строки указывается средняя ставка налога;</w:t>
      </w:r>
    </w:p>
    <w:p w14:paraId="76C7FED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графе D строки указывается признак, где:</w:t>
      </w:r>
    </w:p>
    <w:p w14:paraId="7187A683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 – земельный налог;</w:t>
      </w:r>
    </w:p>
    <w:p w14:paraId="7C0BE2E7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 – плата за пользование земельными участками;</w:t>
      </w:r>
    </w:p>
    <w:p w14:paraId="6F0CA6B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5) в графе E строки указывается сумма земельного налога и (или) платы за пользование земельными участками, подлежащих освобождению.</w:t>
      </w:r>
    </w:p>
    <w:p w14:paraId="53656D03" w14:textId="77777777" w:rsidR="00830611" w:rsidRPr="00830611" w:rsidRDefault="00830611" w:rsidP="0083061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830611">
        <w:rPr>
          <w:color w:val="1E1E1E"/>
          <w:sz w:val="28"/>
          <w:szCs w:val="28"/>
        </w:rPr>
        <w:t>Глава 8. Пояснение по заполнению формы 920.05 – Плата за пользование водными ресурсами поверхностных источников</w:t>
      </w:r>
    </w:p>
    <w:p w14:paraId="7513E98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35. Форма 920.05 предназначена для отражения информации об исчислении суммы платы за пользование водными ресурсами поверхностных источников по каждому виду специального водопользования за налоговый период (год).</w:t>
      </w:r>
    </w:p>
    <w:p w14:paraId="17F2A6E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36. В разделе "Общая информация о налогоплательщике":</w:t>
      </w:r>
    </w:p>
    <w:p w14:paraId="52FAA5A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1) ячейки А </w:t>
      </w:r>
      <w:proofErr w:type="gramStart"/>
      <w:r w:rsidRPr="00830611">
        <w:rPr>
          <w:color w:val="000000"/>
          <w:spacing w:val="2"/>
          <w:sz w:val="28"/>
          <w:szCs w:val="28"/>
        </w:rPr>
        <w:t>и</w:t>
      </w:r>
      <w:proofErr w:type="gramEnd"/>
      <w:r w:rsidRPr="00830611">
        <w:rPr>
          <w:color w:val="000000"/>
          <w:spacing w:val="2"/>
          <w:sz w:val="28"/>
          <w:szCs w:val="28"/>
        </w:rPr>
        <w:t xml:space="preserve"> В строки 3 заполняются при наличии разрешительного документа на специальное водопользование;</w:t>
      </w:r>
    </w:p>
    <w:p w14:paraId="74B172B8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4 указывается вид специального водопользования.</w:t>
      </w:r>
    </w:p>
    <w:p w14:paraId="568AFD7F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lastRenderedPageBreak/>
        <w:t>      Отмечается одна ячейка в зависимости от вида специального водопользования, установленного водным законодательством Республики Казахстан;</w:t>
      </w:r>
    </w:p>
    <w:p w14:paraId="2D2BC655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строке 5 указывается код органа государственных доходов по месту осуществления специального водопользования, указанному в разрешительном документе;</w:t>
      </w:r>
    </w:p>
    <w:p w14:paraId="0364728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4) в строке 6 указываются единицы измерения водопользования.</w:t>
      </w:r>
    </w:p>
    <w:p w14:paraId="3F89D7F1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Отмечается соответствующая ячейка единицы измерения производимого специального водопользования, указанного в строке "Вид специального водопользования".</w:t>
      </w:r>
    </w:p>
    <w:p w14:paraId="262E15EA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37. Раздел "Сведения об объемах водопользования для исчисления платы" заполняется в единицах измерения водопользования, указанных в строке 6:</w:t>
      </w:r>
    </w:p>
    <w:p w14:paraId="510B71EC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строке 920.05.001 указывается установленный лимит водопользования;</w:t>
      </w:r>
    </w:p>
    <w:p w14:paraId="3F1E424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920.05.002 указывается фактический объем специального водопользования в пределах установленного лимита за налоговый период;</w:t>
      </w:r>
    </w:p>
    <w:p w14:paraId="06E07116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строке 920.05.003 указывается фактический объем специального водопользования сверх установленного лимита за налоговый период.</w:t>
      </w:r>
    </w:p>
    <w:p w14:paraId="6B5F18A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38. В разделе "Сведения об установленных ставках для исчисления платы за пользование водными ресурсами поверхностных источников":</w:t>
      </w:r>
    </w:p>
    <w:p w14:paraId="3A42B43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1) в строке 920.05.004 указывается ставка платы за пользование водными ресурсами поверхностных источников в пределах установленного лимита, установленная местным представительным органом области (города республиканского значения, столицы), в соответствии с частью первой </w:t>
      </w:r>
      <w:hyperlink r:id="rId72" w:anchor="z569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статьи 569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кодекса;</w:t>
      </w:r>
    </w:p>
    <w:p w14:paraId="2C075B5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920.05.005 указывается ставка платы за пользование водными ресурсами поверхностных источников сверх установленного лимита, определяемая увеличением в пять раз установленных ставок платы (920.05.004) в соответствии с частью второй </w:t>
      </w:r>
      <w:hyperlink r:id="rId73" w:anchor="z569" w:history="1">
        <w:r w:rsidRPr="00830611">
          <w:rPr>
            <w:rStyle w:val="af6"/>
            <w:color w:val="073A5E"/>
            <w:spacing w:val="2"/>
            <w:sz w:val="28"/>
            <w:szCs w:val="28"/>
          </w:rPr>
          <w:t>статьи 569</w:t>
        </w:r>
      </w:hyperlink>
      <w:r w:rsidRPr="00830611">
        <w:rPr>
          <w:color w:val="000000"/>
          <w:spacing w:val="2"/>
          <w:sz w:val="28"/>
          <w:szCs w:val="28"/>
        </w:rPr>
        <w:t> Налогового кодекса.</w:t>
      </w:r>
    </w:p>
    <w:p w14:paraId="31482AD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39. В разделе "Исчисление платы за пользование водными ресурсами поверхностных источников подлежащей уплате в бюджет":</w:t>
      </w:r>
    </w:p>
    <w:p w14:paraId="38A14FB4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 xml:space="preserve">      1) в строке 920.05.006 указывается сумма исчисленной платы за пользование водными ресурсами поверхностных источников в пределах </w:t>
      </w:r>
      <w:r w:rsidRPr="00830611">
        <w:rPr>
          <w:color w:val="000000"/>
          <w:spacing w:val="2"/>
          <w:sz w:val="28"/>
          <w:szCs w:val="28"/>
        </w:rPr>
        <w:lastRenderedPageBreak/>
        <w:t>установленного лимита, подлежащей уплате в бюджет за налоговый период, определяемая как произведение строк 920.05.002 и 920.05.004;</w:t>
      </w:r>
    </w:p>
    <w:p w14:paraId="1F7B8A0E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2) в строке 920.05.007 указывается сумма исчисленной платы за пользование водными ресурсами поверхностных источников сверх установленного лимита, подлежащей уплате в бюджет за налоговый период, определяемая как произведение строк 920.05.003 и 920.05.005;</w:t>
      </w:r>
    </w:p>
    <w:p w14:paraId="616BF082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3) в строке 920.05.008 указывается общая сумма исчисленной платы за пользование водными ресурсами поверхностных источников, подлежащей уплате в бюджет за налоговый период, определяемая как сумма платы за пользование водными ресурсами поверхностных источников в пределах (920.05.006) и сверх установленного лимита (920.05.007).</w:t>
      </w:r>
    </w:p>
    <w:p w14:paraId="04F698A0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В строке 920.05.008 А указывается сумма исчисленной платы за период с 1 января до 1 октября налогового периода, подлежащей уплате в бюджет не позднее 10 ноября текущего налогового периода.</w:t>
      </w:r>
    </w:p>
    <w:p w14:paraId="0349ED19" w14:textId="77777777" w:rsidR="00830611" w:rsidRPr="00830611" w:rsidRDefault="00830611" w:rsidP="00830611">
      <w:pPr>
        <w:pStyle w:val="af5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830611">
        <w:rPr>
          <w:color w:val="000000"/>
          <w:spacing w:val="2"/>
          <w:sz w:val="28"/>
          <w:szCs w:val="28"/>
        </w:rPr>
        <w:t>      В строке 920.05.008 В указывается сумма исчисленной платы за период с 1 октября по 31 декабря налогового периода, подлежащей уплате в бюджет не позднее 10 апреля налогового периода, следующего за отчетным налоговым периодом.</w:t>
      </w:r>
    </w:p>
    <w:p w14:paraId="6E4AD7A2" w14:textId="77777777" w:rsidR="0034373E" w:rsidRPr="00830611" w:rsidRDefault="0034373E" w:rsidP="00830611">
      <w:pPr>
        <w:pStyle w:val="af"/>
        <w:widowControl w:val="0"/>
        <w:ind w:firstLine="720"/>
        <w:jc w:val="both"/>
        <w:outlineLvl w:val="0"/>
        <w:rPr>
          <w:bCs/>
        </w:rPr>
      </w:pPr>
    </w:p>
    <w:sectPr w:rsidR="0034373E" w:rsidRPr="00830611" w:rsidSect="00D301CE">
      <w:headerReference w:type="default" r:id="rId74"/>
      <w:footerReference w:type="default" r:id="rId75"/>
      <w:footerReference w:type="first" r:id="rId76"/>
      <w:pgSz w:w="11906" w:h="16838"/>
      <w:pgMar w:top="1418" w:right="851" w:bottom="1418" w:left="1418" w:header="709" w:footer="709" w:gutter="0"/>
      <w:pgNumType w:start="4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3BFF7" w14:textId="77777777" w:rsidR="000B7BDA" w:rsidRDefault="000B7BDA" w:rsidP="00BC77A0">
      <w:r>
        <w:separator/>
      </w:r>
    </w:p>
  </w:endnote>
  <w:endnote w:type="continuationSeparator" w:id="0">
    <w:p w14:paraId="2DD50258" w14:textId="77777777" w:rsidR="000B7BDA" w:rsidRDefault="000B7BDA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99CD6" w14:textId="77777777" w:rsidR="009913FE" w:rsidRDefault="009913FE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A0710" w14:textId="77777777" w:rsidR="009913FE" w:rsidRDefault="009913F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25129" w14:textId="77777777" w:rsidR="000B7BDA" w:rsidRDefault="000B7BDA" w:rsidP="00BC77A0">
      <w:r>
        <w:separator/>
      </w:r>
    </w:p>
  </w:footnote>
  <w:footnote w:type="continuationSeparator" w:id="0">
    <w:p w14:paraId="4715AB32" w14:textId="77777777" w:rsidR="000B7BDA" w:rsidRDefault="000B7BDA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0532719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C23834E" w14:textId="77777777" w:rsidR="00FB7EA0" w:rsidRPr="00A10CAB" w:rsidRDefault="00FB7EA0" w:rsidP="00B467F0">
        <w:pPr>
          <w:pStyle w:val="ab"/>
          <w:jc w:val="center"/>
          <w:rPr>
            <w:sz w:val="28"/>
          </w:rPr>
        </w:pPr>
        <w:r w:rsidRPr="00A10CAB">
          <w:rPr>
            <w:sz w:val="28"/>
          </w:rPr>
          <w:fldChar w:fldCharType="begin"/>
        </w:r>
        <w:r w:rsidRPr="00A10CAB">
          <w:rPr>
            <w:sz w:val="28"/>
          </w:rPr>
          <w:instrText>PAGE   \* MERGEFORMAT</w:instrText>
        </w:r>
        <w:r w:rsidRPr="00A10CAB">
          <w:rPr>
            <w:sz w:val="28"/>
          </w:rPr>
          <w:fldChar w:fldCharType="separate"/>
        </w:r>
        <w:r w:rsidR="008003E1">
          <w:rPr>
            <w:noProof/>
            <w:sz w:val="28"/>
          </w:rPr>
          <w:t>449</w:t>
        </w:r>
        <w:r w:rsidRPr="00A10CAB">
          <w:rPr>
            <w:sz w:val="28"/>
          </w:rPr>
          <w:fldChar w:fldCharType="end"/>
        </w:r>
      </w:p>
    </w:sdtContent>
  </w:sdt>
  <w:p w14:paraId="4970F0C5" w14:textId="77777777" w:rsidR="00FB7EA0" w:rsidRDefault="00FB7E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4BCF"/>
    <w:multiLevelType w:val="hybridMultilevel"/>
    <w:tmpl w:val="6F709134"/>
    <w:lvl w:ilvl="0" w:tplc="6AA0F99C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7633B"/>
    <w:multiLevelType w:val="hybridMultilevel"/>
    <w:tmpl w:val="41A0F510"/>
    <w:lvl w:ilvl="0" w:tplc="7CCADB48">
      <w:start w:val="28"/>
      <w:numFmt w:val="decimal"/>
      <w:lvlText w:val="%1."/>
      <w:lvlJc w:val="left"/>
      <w:pPr>
        <w:ind w:left="173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61637"/>
    <w:multiLevelType w:val="hybridMultilevel"/>
    <w:tmpl w:val="2C588310"/>
    <w:lvl w:ilvl="0" w:tplc="030C22D0">
      <w:start w:val="1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7DACC988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C9234C"/>
    <w:multiLevelType w:val="hybridMultilevel"/>
    <w:tmpl w:val="C242DB5E"/>
    <w:lvl w:ilvl="0" w:tplc="8CDAFACC">
      <w:start w:val="30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4053"/>
    <w:multiLevelType w:val="hybridMultilevel"/>
    <w:tmpl w:val="1DDAB39C"/>
    <w:lvl w:ilvl="0" w:tplc="04190011">
      <w:start w:val="1"/>
      <w:numFmt w:val="decimal"/>
      <w:lvlText w:val="%1)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B7EDA"/>
    <w:multiLevelType w:val="hybridMultilevel"/>
    <w:tmpl w:val="3C002522"/>
    <w:lvl w:ilvl="0" w:tplc="41E69C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325CC3"/>
    <w:multiLevelType w:val="hybridMultilevel"/>
    <w:tmpl w:val="4872A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0440A"/>
    <w:multiLevelType w:val="hybridMultilevel"/>
    <w:tmpl w:val="D0C496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E13CCC"/>
    <w:multiLevelType w:val="hybridMultilevel"/>
    <w:tmpl w:val="D77A08E4"/>
    <w:lvl w:ilvl="0" w:tplc="3B5E05FC">
      <w:start w:val="3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FB1D2D"/>
    <w:multiLevelType w:val="hybridMultilevel"/>
    <w:tmpl w:val="7B4EE2E6"/>
    <w:lvl w:ilvl="0" w:tplc="11F09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564C0D"/>
    <w:multiLevelType w:val="hybridMultilevel"/>
    <w:tmpl w:val="3E8E381E"/>
    <w:lvl w:ilvl="0" w:tplc="67F0FDDA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833625"/>
    <w:multiLevelType w:val="hybridMultilevel"/>
    <w:tmpl w:val="C1B268E6"/>
    <w:lvl w:ilvl="0" w:tplc="03C4BC98">
      <w:start w:val="29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17EE6"/>
    <w:multiLevelType w:val="hybridMultilevel"/>
    <w:tmpl w:val="CAF81A4E"/>
    <w:lvl w:ilvl="0" w:tplc="A034587A">
      <w:start w:val="1"/>
      <w:numFmt w:val="decimal"/>
      <w:lvlText w:val="%1)"/>
      <w:lvlJc w:val="left"/>
      <w:pPr>
        <w:ind w:left="1380" w:hanging="102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54379"/>
    <w:multiLevelType w:val="hybridMultilevel"/>
    <w:tmpl w:val="8E7CAF4E"/>
    <w:lvl w:ilvl="0" w:tplc="A6080B0E">
      <w:start w:val="28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F6963"/>
    <w:multiLevelType w:val="hybridMultilevel"/>
    <w:tmpl w:val="AB24F8F6"/>
    <w:lvl w:ilvl="0" w:tplc="3F94681C">
      <w:start w:val="31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85AB8"/>
    <w:multiLevelType w:val="hybridMultilevel"/>
    <w:tmpl w:val="1DDAB39C"/>
    <w:lvl w:ilvl="0" w:tplc="04190011">
      <w:start w:val="1"/>
      <w:numFmt w:val="decimal"/>
      <w:lvlText w:val="%1)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0CB2F16"/>
    <w:multiLevelType w:val="hybridMultilevel"/>
    <w:tmpl w:val="6EA2BAF0"/>
    <w:lvl w:ilvl="0" w:tplc="D0E6BDC4">
      <w:start w:val="2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80436"/>
    <w:multiLevelType w:val="hybridMultilevel"/>
    <w:tmpl w:val="3C002522"/>
    <w:lvl w:ilvl="0" w:tplc="41E69C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5C7B4E"/>
    <w:multiLevelType w:val="hybridMultilevel"/>
    <w:tmpl w:val="EDCEA062"/>
    <w:lvl w:ilvl="0" w:tplc="76400DA6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43522CF0">
      <w:start w:val="1"/>
      <w:numFmt w:val="decimal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D35CB5"/>
    <w:multiLevelType w:val="hybridMultilevel"/>
    <w:tmpl w:val="C890D69C"/>
    <w:lvl w:ilvl="0" w:tplc="DD48C7FE">
      <w:start w:val="1"/>
      <w:numFmt w:val="decimal"/>
      <w:lvlText w:val="%1."/>
      <w:lvlJc w:val="left"/>
      <w:pPr>
        <w:ind w:left="173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A6033D2"/>
    <w:multiLevelType w:val="hybridMultilevel"/>
    <w:tmpl w:val="65D650D2"/>
    <w:lvl w:ilvl="0" w:tplc="E4284DE2">
      <w:start w:val="1"/>
      <w:numFmt w:val="decimal"/>
      <w:lvlText w:val="%1."/>
      <w:lvlJc w:val="left"/>
      <w:pPr>
        <w:ind w:left="173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D035312"/>
    <w:multiLevelType w:val="hybridMultilevel"/>
    <w:tmpl w:val="6A502024"/>
    <w:lvl w:ilvl="0" w:tplc="4BA0BF8A">
      <w:start w:val="1"/>
      <w:numFmt w:val="decimal"/>
      <w:lvlText w:val="%1."/>
      <w:lvlJc w:val="left"/>
      <w:pPr>
        <w:ind w:left="1132" w:hanging="990"/>
      </w:pPr>
      <w:rPr>
        <w:rFonts w:ascii="Times New Roman" w:hAnsi="Times New Roman" w:cs="Times New Roman" w:hint="default"/>
        <w:sz w:val="28"/>
        <w:szCs w:val="28"/>
      </w:rPr>
    </w:lvl>
    <w:lvl w:ilvl="1" w:tplc="BA10953E">
      <w:start w:val="1"/>
      <w:numFmt w:val="decimal"/>
      <w:lvlText w:val="%2)"/>
      <w:lvlJc w:val="left"/>
      <w:pPr>
        <w:ind w:left="1715" w:hanging="1005"/>
      </w:pPr>
      <w:rPr>
        <w:rFonts w:hint="default"/>
      </w:rPr>
    </w:lvl>
    <w:lvl w:ilvl="2" w:tplc="8CC28C0C">
      <w:start w:val="1"/>
      <w:numFmt w:val="decimal"/>
      <w:lvlText w:val="%3-"/>
      <w:lvlJc w:val="left"/>
      <w:pPr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EDC3963"/>
    <w:multiLevelType w:val="hybridMultilevel"/>
    <w:tmpl w:val="1DDAB39C"/>
    <w:lvl w:ilvl="0" w:tplc="04190011">
      <w:start w:val="1"/>
      <w:numFmt w:val="decimal"/>
      <w:lvlText w:val="%1)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1523AC"/>
    <w:multiLevelType w:val="hybridMultilevel"/>
    <w:tmpl w:val="6F94F550"/>
    <w:lvl w:ilvl="0" w:tplc="8974B122">
      <w:start w:val="27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E1A43"/>
    <w:multiLevelType w:val="hybridMultilevel"/>
    <w:tmpl w:val="675A5AAE"/>
    <w:lvl w:ilvl="0" w:tplc="1C36C43C">
      <w:start w:val="20"/>
      <w:numFmt w:val="decimal"/>
      <w:lvlText w:val="%1."/>
      <w:lvlJc w:val="left"/>
      <w:pPr>
        <w:ind w:left="173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22"/>
  </w:num>
  <w:num w:numId="9">
    <w:abstractNumId w:val="7"/>
  </w:num>
  <w:num w:numId="10">
    <w:abstractNumId w:val="20"/>
  </w:num>
  <w:num w:numId="11">
    <w:abstractNumId w:val="23"/>
  </w:num>
  <w:num w:numId="12">
    <w:abstractNumId w:val="2"/>
  </w:num>
  <w:num w:numId="13">
    <w:abstractNumId w:val="11"/>
  </w:num>
  <w:num w:numId="14">
    <w:abstractNumId w:val="16"/>
  </w:num>
  <w:num w:numId="15">
    <w:abstractNumId w:val="25"/>
  </w:num>
  <w:num w:numId="16">
    <w:abstractNumId w:val="17"/>
  </w:num>
  <w:num w:numId="17">
    <w:abstractNumId w:val="24"/>
  </w:num>
  <w:num w:numId="18">
    <w:abstractNumId w:val="1"/>
  </w:num>
  <w:num w:numId="19">
    <w:abstractNumId w:val="12"/>
  </w:num>
  <w:num w:numId="20">
    <w:abstractNumId w:val="18"/>
  </w:num>
  <w:num w:numId="21">
    <w:abstractNumId w:val="6"/>
  </w:num>
  <w:num w:numId="22">
    <w:abstractNumId w:val="13"/>
  </w:num>
  <w:num w:numId="23">
    <w:abstractNumId w:val="15"/>
  </w:num>
  <w:num w:numId="24">
    <w:abstractNumId w:val="14"/>
  </w:num>
  <w:num w:numId="25">
    <w:abstractNumId w:val="4"/>
  </w:num>
  <w:num w:numId="26">
    <w:abstractNumId w:val="9"/>
  </w:num>
  <w:num w:numId="27">
    <w:abstractNumId w:val="19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009B7"/>
    <w:rsid w:val="0001563D"/>
    <w:rsid w:val="0002084E"/>
    <w:rsid w:val="0003622B"/>
    <w:rsid w:val="00056BE6"/>
    <w:rsid w:val="0007219C"/>
    <w:rsid w:val="00084552"/>
    <w:rsid w:val="00097A9A"/>
    <w:rsid w:val="000B7BDA"/>
    <w:rsid w:val="000C714B"/>
    <w:rsid w:val="000D68F9"/>
    <w:rsid w:val="000E432E"/>
    <w:rsid w:val="00106364"/>
    <w:rsid w:val="001353F8"/>
    <w:rsid w:val="00140036"/>
    <w:rsid w:val="001416AD"/>
    <w:rsid w:val="00161F7D"/>
    <w:rsid w:val="001879FA"/>
    <w:rsid w:val="00196968"/>
    <w:rsid w:val="001A3D55"/>
    <w:rsid w:val="001A7D2D"/>
    <w:rsid w:val="001B1341"/>
    <w:rsid w:val="001D08A6"/>
    <w:rsid w:val="001F1694"/>
    <w:rsid w:val="001F2628"/>
    <w:rsid w:val="001F46C9"/>
    <w:rsid w:val="00210C1B"/>
    <w:rsid w:val="00215E9E"/>
    <w:rsid w:val="00217316"/>
    <w:rsid w:val="002178CD"/>
    <w:rsid w:val="002352D0"/>
    <w:rsid w:val="002B0FB8"/>
    <w:rsid w:val="002B216C"/>
    <w:rsid w:val="002E0E8A"/>
    <w:rsid w:val="002E524A"/>
    <w:rsid w:val="00305827"/>
    <w:rsid w:val="00324CC8"/>
    <w:rsid w:val="0034206F"/>
    <w:rsid w:val="0034373E"/>
    <w:rsid w:val="00350C9A"/>
    <w:rsid w:val="00353C2F"/>
    <w:rsid w:val="003632C3"/>
    <w:rsid w:val="003634A2"/>
    <w:rsid w:val="00375EC0"/>
    <w:rsid w:val="003803FE"/>
    <w:rsid w:val="00380A66"/>
    <w:rsid w:val="00387550"/>
    <w:rsid w:val="00393500"/>
    <w:rsid w:val="003B5B3A"/>
    <w:rsid w:val="0041337E"/>
    <w:rsid w:val="00444C27"/>
    <w:rsid w:val="00474C43"/>
    <w:rsid w:val="00481500"/>
    <w:rsid w:val="004B4D15"/>
    <w:rsid w:val="004B6E4A"/>
    <w:rsid w:val="004C255D"/>
    <w:rsid w:val="004C5B8F"/>
    <w:rsid w:val="004D5D29"/>
    <w:rsid w:val="004E4CAB"/>
    <w:rsid w:val="004F3DA6"/>
    <w:rsid w:val="005327BA"/>
    <w:rsid w:val="00536BC5"/>
    <w:rsid w:val="00564A5B"/>
    <w:rsid w:val="00567472"/>
    <w:rsid w:val="0058037F"/>
    <w:rsid w:val="00582597"/>
    <w:rsid w:val="00586F92"/>
    <w:rsid w:val="005F56E0"/>
    <w:rsid w:val="00613D1E"/>
    <w:rsid w:val="006240E8"/>
    <w:rsid w:val="006276A9"/>
    <w:rsid w:val="00631A57"/>
    <w:rsid w:val="0064655A"/>
    <w:rsid w:val="00664407"/>
    <w:rsid w:val="00695CF8"/>
    <w:rsid w:val="006C0205"/>
    <w:rsid w:val="006F2564"/>
    <w:rsid w:val="007324DB"/>
    <w:rsid w:val="00740110"/>
    <w:rsid w:val="00776BA7"/>
    <w:rsid w:val="00777B1F"/>
    <w:rsid w:val="00784B99"/>
    <w:rsid w:val="00796F0E"/>
    <w:rsid w:val="0079747E"/>
    <w:rsid w:val="007A545A"/>
    <w:rsid w:val="007C3C70"/>
    <w:rsid w:val="007D71C8"/>
    <w:rsid w:val="007E1057"/>
    <w:rsid w:val="008003E1"/>
    <w:rsid w:val="00823370"/>
    <w:rsid w:val="00830611"/>
    <w:rsid w:val="00837D8B"/>
    <w:rsid w:val="00844DC6"/>
    <w:rsid w:val="00850F20"/>
    <w:rsid w:val="00882E12"/>
    <w:rsid w:val="008A12A6"/>
    <w:rsid w:val="008C3AA1"/>
    <w:rsid w:val="00912ADF"/>
    <w:rsid w:val="00916FE4"/>
    <w:rsid w:val="00920D43"/>
    <w:rsid w:val="00966AAA"/>
    <w:rsid w:val="009717FC"/>
    <w:rsid w:val="00977C7E"/>
    <w:rsid w:val="009913FE"/>
    <w:rsid w:val="0099366C"/>
    <w:rsid w:val="0099400B"/>
    <w:rsid w:val="009A4D1B"/>
    <w:rsid w:val="009D3A23"/>
    <w:rsid w:val="00A10CAB"/>
    <w:rsid w:val="00A124E0"/>
    <w:rsid w:val="00A33CA4"/>
    <w:rsid w:val="00A373DF"/>
    <w:rsid w:val="00AA371C"/>
    <w:rsid w:val="00AA559B"/>
    <w:rsid w:val="00AC2722"/>
    <w:rsid w:val="00AD0411"/>
    <w:rsid w:val="00AF50CA"/>
    <w:rsid w:val="00B359BD"/>
    <w:rsid w:val="00B467F0"/>
    <w:rsid w:val="00B50A65"/>
    <w:rsid w:val="00B5779B"/>
    <w:rsid w:val="00B819F2"/>
    <w:rsid w:val="00B81D87"/>
    <w:rsid w:val="00B82D7F"/>
    <w:rsid w:val="00BC170C"/>
    <w:rsid w:val="00BC77A0"/>
    <w:rsid w:val="00BD3074"/>
    <w:rsid w:val="00C14513"/>
    <w:rsid w:val="00C3062F"/>
    <w:rsid w:val="00C44778"/>
    <w:rsid w:val="00C4482D"/>
    <w:rsid w:val="00C568CB"/>
    <w:rsid w:val="00C752B4"/>
    <w:rsid w:val="00C87D31"/>
    <w:rsid w:val="00CC0E55"/>
    <w:rsid w:val="00CC14B4"/>
    <w:rsid w:val="00CD3487"/>
    <w:rsid w:val="00CE0583"/>
    <w:rsid w:val="00CE11FC"/>
    <w:rsid w:val="00CE66F6"/>
    <w:rsid w:val="00CE7FFB"/>
    <w:rsid w:val="00CF547B"/>
    <w:rsid w:val="00D279C8"/>
    <w:rsid w:val="00D301CE"/>
    <w:rsid w:val="00D358BB"/>
    <w:rsid w:val="00D65C35"/>
    <w:rsid w:val="00D804FA"/>
    <w:rsid w:val="00D824CC"/>
    <w:rsid w:val="00DA0551"/>
    <w:rsid w:val="00DA6D3E"/>
    <w:rsid w:val="00DB0C4E"/>
    <w:rsid w:val="00DB33D2"/>
    <w:rsid w:val="00DC3A72"/>
    <w:rsid w:val="00E2516D"/>
    <w:rsid w:val="00E32F59"/>
    <w:rsid w:val="00E45B68"/>
    <w:rsid w:val="00E526F7"/>
    <w:rsid w:val="00E57250"/>
    <w:rsid w:val="00EA4398"/>
    <w:rsid w:val="00EB0679"/>
    <w:rsid w:val="00EB3661"/>
    <w:rsid w:val="00F06E9C"/>
    <w:rsid w:val="00F135DC"/>
    <w:rsid w:val="00F15A6C"/>
    <w:rsid w:val="00FB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7B855"/>
  <w15:docId w15:val="{DF855B37-001B-4C78-BBDA-7FEE3964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2516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rsid w:val="0034373E"/>
    <w:pPr>
      <w:jc w:val="center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3437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 Indent"/>
    <w:basedOn w:val="a"/>
    <w:link w:val="af2"/>
    <w:uiPriority w:val="99"/>
    <w:rsid w:val="0034373E"/>
    <w:pPr>
      <w:ind w:firstLine="720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3437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34373E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4373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0">
    <w:name w:val="s0"/>
    <w:basedOn w:val="a0"/>
    <w:rsid w:val="0034373E"/>
    <w:rPr>
      <w:rFonts w:ascii="Times New Roman" w:hAnsi="Times New Roman" w:cs="Times New Roman"/>
      <w:color w:val="000000"/>
      <w:sz w:val="22"/>
      <w:szCs w:val="22"/>
      <w:u w:val="none"/>
      <w:effect w:val="none"/>
    </w:rPr>
  </w:style>
  <w:style w:type="character" w:customStyle="1" w:styleId="s1">
    <w:name w:val="s1"/>
    <w:basedOn w:val="a0"/>
    <w:uiPriority w:val="99"/>
    <w:rsid w:val="0034373E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paragraph" w:styleId="af3">
    <w:name w:val="List Paragraph"/>
    <w:basedOn w:val="a"/>
    <w:uiPriority w:val="34"/>
    <w:qFormat/>
    <w:rsid w:val="0034373E"/>
    <w:pPr>
      <w:ind w:left="720"/>
      <w:contextualSpacing/>
    </w:pPr>
    <w:rPr>
      <w:sz w:val="28"/>
      <w:szCs w:val="28"/>
    </w:rPr>
  </w:style>
  <w:style w:type="paragraph" w:styleId="af4">
    <w:name w:val="No Spacing"/>
    <w:uiPriority w:val="1"/>
    <w:qFormat/>
    <w:rsid w:val="003634A2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51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5">
    <w:name w:val="Normal (Web)"/>
    <w:basedOn w:val="a"/>
    <w:uiPriority w:val="99"/>
    <w:semiHidden/>
    <w:unhideWhenUsed/>
    <w:rsid w:val="00E2516D"/>
    <w:pPr>
      <w:spacing w:before="100" w:beforeAutospacing="1" w:after="100" w:afterAutospacing="1"/>
    </w:pPr>
  </w:style>
  <w:style w:type="character" w:styleId="af6">
    <w:name w:val="Hyperlink"/>
    <w:basedOn w:val="a0"/>
    <w:uiPriority w:val="99"/>
    <w:semiHidden/>
    <w:unhideWhenUsed/>
    <w:rsid w:val="00E251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6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dilet.zan.kz/rus/docs/Z2100000077" TargetMode="External"/><Relationship Id="rId21" Type="http://schemas.openxmlformats.org/officeDocument/2006/relationships/hyperlink" Target="https://adilet.zan.kz/rus/docs/Z1300000105" TargetMode="External"/><Relationship Id="rId42" Type="http://schemas.openxmlformats.org/officeDocument/2006/relationships/hyperlink" Target="https://adilet.zan.kz/rus/docs/Z2100000077" TargetMode="External"/><Relationship Id="rId47" Type="http://schemas.openxmlformats.org/officeDocument/2006/relationships/hyperlink" Target="https://adilet.zan.kz/rus/docs/H10T0000378" TargetMode="External"/><Relationship Id="rId63" Type="http://schemas.openxmlformats.org/officeDocument/2006/relationships/hyperlink" Target="https://adilet.zan.kz/rus/docs/V1800016404" TargetMode="External"/><Relationship Id="rId68" Type="http://schemas.openxmlformats.org/officeDocument/2006/relationships/hyperlink" Target="https://adilet.zan.kz/rus/docs/K1500000414" TargetMode="External"/><Relationship Id="rId16" Type="http://schemas.openxmlformats.org/officeDocument/2006/relationships/hyperlink" Target="https://adilet.zan.kz/rus/docs/K1700000120" TargetMode="External"/><Relationship Id="rId11" Type="http://schemas.openxmlformats.org/officeDocument/2006/relationships/hyperlink" Target="https://adilet.zan.kz/rus/docs/K1700000120" TargetMode="External"/><Relationship Id="rId24" Type="http://schemas.openxmlformats.org/officeDocument/2006/relationships/hyperlink" Target="https://adilet.zan.kz/rus/docs/Z2100000077" TargetMode="External"/><Relationship Id="rId32" Type="http://schemas.openxmlformats.org/officeDocument/2006/relationships/hyperlink" Target="https://adilet.zan.kz/rus/docs/K1700000120" TargetMode="External"/><Relationship Id="rId37" Type="http://schemas.openxmlformats.org/officeDocument/2006/relationships/hyperlink" Target="https://adilet.zan.kz/rus/docs/Z1700000121" TargetMode="External"/><Relationship Id="rId40" Type="http://schemas.openxmlformats.org/officeDocument/2006/relationships/hyperlink" Target="https://adilet.zan.kz/rus/docs/K1700000120" TargetMode="External"/><Relationship Id="rId45" Type="http://schemas.openxmlformats.org/officeDocument/2006/relationships/hyperlink" Target="https://adilet.zan.kz/rus/docs/K1700000120" TargetMode="External"/><Relationship Id="rId53" Type="http://schemas.openxmlformats.org/officeDocument/2006/relationships/hyperlink" Target="https://adilet.zan.kz/rus/docs/K1700000120" TargetMode="External"/><Relationship Id="rId58" Type="http://schemas.openxmlformats.org/officeDocument/2006/relationships/hyperlink" Target="https://adilet.zan.kz/rus/docs/K1700000120" TargetMode="External"/><Relationship Id="rId66" Type="http://schemas.openxmlformats.org/officeDocument/2006/relationships/hyperlink" Target="https://adilet.zan.kz/rus/docs/Z070000310_" TargetMode="External"/><Relationship Id="rId74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hyperlink" Target="https://adilet.zan.kz/rus/docs/Z1900000286" TargetMode="External"/><Relationship Id="rId19" Type="http://schemas.openxmlformats.org/officeDocument/2006/relationships/hyperlink" Target="https://adilet.zan.kz/rus/docs/Z1900000286" TargetMode="External"/><Relationship Id="rId14" Type="http://schemas.openxmlformats.org/officeDocument/2006/relationships/hyperlink" Target="https://adilet.zan.kz/rus/docs/K1700000120" TargetMode="External"/><Relationship Id="rId22" Type="http://schemas.openxmlformats.org/officeDocument/2006/relationships/hyperlink" Target="https://adilet.zan.kz/rus/docs/Z1300000105" TargetMode="External"/><Relationship Id="rId27" Type="http://schemas.openxmlformats.org/officeDocument/2006/relationships/hyperlink" Target="https://adilet.zan.kz/rus/docs/Z1300000105" TargetMode="External"/><Relationship Id="rId30" Type="http://schemas.openxmlformats.org/officeDocument/2006/relationships/hyperlink" Target="https://adilet.zan.kz/rus/docs/Z1500000405" TargetMode="External"/><Relationship Id="rId35" Type="http://schemas.openxmlformats.org/officeDocument/2006/relationships/hyperlink" Target="https://adilet.zan.kz/rus/docs/K1700000120" TargetMode="External"/><Relationship Id="rId43" Type="http://schemas.openxmlformats.org/officeDocument/2006/relationships/hyperlink" Target="https://adilet.zan.kz/rus/docs/K1700000120" TargetMode="External"/><Relationship Id="rId48" Type="http://schemas.openxmlformats.org/officeDocument/2006/relationships/hyperlink" Target="https://adilet.zan.kz/rus/docs/H10T0000378" TargetMode="External"/><Relationship Id="rId56" Type="http://schemas.openxmlformats.org/officeDocument/2006/relationships/hyperlink" Target="https://adilet.zan.kz/rus/docs/K1700000120" TargetMode="External"/><Relationship Id="rId64" Type="http://schemas.openxmlformats.org/officeDocument/2006/relationships/hyperlink" Target="https://adilet.zan.kz/rus/docs/K1700000120" TargetMode="External"/><Relationship Id="rId69" Type="http://schemas.openxmlformats.org/officeDocument/2006/relationships/hyperlink" Target="https://adilet.zan.kz/rus/docs/K1700000120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adilet.zan.kz/rus/docs/K1700000120" TargetMode="External"/><Relationship Id="rId51" Type="http://schemas.openxmlformats.org/officeDocument/2006/relationships/hyperlink" Target="https://adilet.zan.kz/rus/docs/K1700000120" TargetMode="External"/><Relationship Id="rId72" Type="http://schemas.openxmlformats.org/officeDocument/2006/relationships/hyperlink" Target="https://adilet.zan.kz/rus/docs/K17000001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adilet.zan.kz/rus/docs/K1700000120" TargetMode="External"/><Relationship Id="rId17" Type="http://schemas.openxmlformats.org/officeDocument/2006/relationships/hyperlink" Target="https://adilet.zan.kz/rus/docs/Z1700000121" TargetMode="External"/><Relationship Id="rId25" Type="http://schemas.openxmlformats.org/officeDocument/2006/relationships/hyperlink" Target="https://adilet.zan.kz/rus/docs/Z2100000077" TargetMode="External"/><Relationship Id="rId33" Type="http://schemas.openxmlformats.org/officeDocument/2006/relationships/hyperlink" Target="https://adilet.zan.kz/rus/docs/K1700000120" TargetMode="External"/><Relationship Id="rId38" Type="http://schemas.openxmlformats.org/officeDocument/2006/relationships/hyperlink" Target="https://adilet.zan.kz/rus/docs/Z1700000121" TargetMode="External"/><Relationship Id="rId46" Type="http://schemas.openxmlformats.org/officeDocument/2006/relationships/hyperlink" Target="https://adilet.zan.kz/rus/docs/Z1500000405" TargetMode="External"/><Relationship Id="rId59" Type="http://schemas.openxmlformats.org/officeDocument/2006/relationships/hyperlink" Target="https://adilet.zan.kz/rus/docs/K1700000120" TargetMode="External"/><Relationship Id="rId67" Type="http://schemas.openxmlformats.org/officeDocument/2006/relationships/hyperlink" Target="https://adilet.zan.kz/rus/docs/Z040000576_" TargetMode="External"/><Relationship Id="rId20" Type="http://schemas.openxmlformats.org/officeDocument/2006/relationships/hyperlink" Target="https://adilet.zan.kz/rus/docs/Z1900000286" TargetMode="External"/><Relationship Id="rId41" Type="http://schemas.openxmlformats.org/officeDocument/2006/relationships/hyperlink" Target="https://adilet.zan.kz/rus/docs/Z1300000105" TargetMode="External"/><Relationship Id="rId54" Type="http://schemas.openxmlformats.org/officeDocument/2006/relationships/hyperlink" Target="https://adilet.zan.kz/rus/docs/K1700000120" TargetMode="External"/><Relationship Id="rId62" Type="http://schemas.openxmlformats.org/officeDocument/2006/relationships/hyperlink" Target="https://adilet.zan.kz/rus/docs/Z1500000405" TargetMode="External"/><Relationship Id="rId70" Type="http://schemas.openxmlformats.org/officeDocument/2006/relationships/hyperlink" Target="https://adilet.zan.kz/rus/docs/K1700000120" TargetMode="External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adilet.zan.kz/rus/docs/K1700000120" TargetMode="External"/><Relationship Id="rId23" Type="http://schemas.openxmlformats.org/officeDocument/2006/relationships/hyperlink" Target="https://adilet.zan.kz/rus/docs/Z1500000405" TargetMode="External"/><Relationship Id="rId28" Type="http://schemas.openxmlformats.org/officeDocument/2006/relationships/hyperlink" Target="https://adilet.zan.kz/rus/docs/Z1300000105" TargetMode="External"/><Relationship Id="rId36" Type="http://schemas.openxmlformats.org/officeDocument/2006/relationships/hyperlink" Target="https://adilet.zan.kz/rus/docs/Z1700000121" TargetMode="External"/><Relationship Id="rId49" Type="http://schemas.openxmlformats.org/officeDocument/2006/relationships/hyperlink" Target="https://adilet.zan.kz/rus/docs/K1700000120" TargetMode="External"/><Relationship Id="rId57" Type="http://schemas.openxmlformats.org/officeDocument/2006/relationships/hyperlink" Target="https://adilet.zan.kz/rus/docs/K1700000120" TargetMode="External"/><Relationship Id="rId10" Type="http://schemas.openxmlformats.org/officeDocument/2006/relationships/hyperlink" Target="https://adilet.zan.kz/rus/docs/K1700000120" TargetMode="External"/><Relationship Id="rId31" Type="http://schemas.openxmlformats.org/officeDocument/2006/relationships/hyperlink" Target="https://adilet.zan.kz/rus/docs/Z1900000286" TargetMode="External"/><Relationship Id="rId44" Type="http://schemas.openxmlformats.org/officeDocument/2006/relationships/hyperlink" Target="https://adilet.zan.kz/rus/docs/K1700000120" TargetMode="External"/><Relationship Id="rId52" Type="http://schemas.openxmlformats.org/officeDocument/2006/relationships/hyperlink" Target="https://adilet.zan.kz/rus/docs/K1700000120" TargetMode="External"/><Relationship Id="rId60" Type="http://schemas.openxmlformats.org/officeDocument/2006/relationships/hyperlink" Target="https://adilet.zan.kz/rus/docs/K1700000120" TargetMode="External"/><Relationship Id="rId65" Type="http://schemas.openxmlformats.org/officeDocument/2006/relationships/hyperlink" Target="https://adilet.zan.kz/rus/docs/Z070000310_" TargetMode="External"/><Relationship Id="rId73" Type="http://schemas.openxmlformats.org/officeDocument/2006/relationships/hyperlink" Target="https://adilet.zan.kz/rus/docs/K1700000120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K1700000120" TargetMode="External"/><Relationship Id="rId13" Type="http://schemas.openxmlformats.org/officeDocument/2006/relationships/hyperlink" Target="https://adilet.zan.kz/rus/docs/H10T0000378" TargetMode="External"/><Relationship Id="rId18" Type="http://schemas.openxmlformats.org/officeDocument/2006/relationships/hyperlink" Target="https://adilet.zan.kz/rus/docs/Z1700000121" TargetMode="External"/><Relationship Id="rId39" Type="http://schemas.openxmlformats.org/officeDocument/2006/relationships/hyperlink" Target="https://adilet.zan.kz/rus/docs/K1700000120" TargetMode="External"/><Relationship Id="rId34" Type="http://schemas.openxmlformats.org/officeDocument/2006/relationships/hyperlink" Target="https://adilet.zan.kz/rus/docs/K1700000120" TargetMode="External"/><Relationship Id="rId50" Type="http://schemas.openxmlformats.org/officeDocument/2006/relationships/hyperlink" Target="https://adilet.zan.kz/rus/docs/K1700000120" TargetMode="External"/><Relationship Id="rId55" Type="http://schemas.openxmlformats.org/officeDocument/2006/relationships/hyperlink" Target="https://adilet.zan.kz/rus/docs/K1700000120" TargetMode="External"/><Relationship Id="rId76" Type="http://schemas.openxmlformats.org/officeDocument/2006/relationships/footer" Target="footer2.xml"/><Relationship Id="rId7" Type="http://schemas.openxmlformats.org/officeDocument/2006/relationships/hyperlink" Target="https://adilet.zan.kz/rus/docs/K1700000120" TargetMode="External"/><Relationship Id="rId71" Type="http://schemas.openxmlformats.org/officeDocument/2006/relationships/hyperlink" Target="https://adilet.zan.kz/rus/docs/K17000001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adilet.zan.kz/rus/docs/Z15000004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9801</Words>
  <Characters>55870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6</cp:revision>
  <cp:lastPrinted>2020-10-12T11:45:00Z</cp:lastPrinted>
  <dcterms:created xsi:type="dcterms:W3CDTF">2020-12-20T05:30:00Z</dcterms:created>
  <dcterms:modified xsi:type="dcterms:W3CDTF">2022-05-17T08:21:00Z</dcterms:modified>
</cp:coreProperties>
</file>